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FD2AF" w14:textId="470D526F" w:rsidR="00DC4ACD" w:rsidRPr="00E06945" w:rsidRDefault="00DC4ACD" w:rsidP="00B8657C">
      <w:pPr>
        <w:spacing w:before="240" w:after="240" w:line="960" w:lineRule="atLeast"/>
        <w:rPr>
          <w:rFonts w:ascii="Cambria" w:eastAsia="Times New Roman" w:hAnsi="Cambria" w:cs="Times New Roman Bold"/>
          <w:b/>
          <w:bCs/>
          <w:sz w:val="36"/>
          <w:szCs w:val="36"/>
          <w:lang w:val="ro-RO" w:eastAsia="ru-RU"/>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555F58" w:rsidRPr="00E06945" w14:paraId="459537CE" w14:textId="77777777" w:rsidTr="00DC4ACD">
        <w:trPr>
          <w:trHeight w:val="30"/>
          <w:tblCellSpacing w:w="0" w:type="dxa"/>
        </w:trPr>
        <w:tc>
          <w:tcPr>
            <w:tcW w:w="6" w:type="dxa"/>
            <w:vAlign w:val="center"/>
            <w:hideMark/>
          </w:tcPr>
          <w:p w14:paraId="15D27312" w14:textId="77777777" w:rsidR="00DC4ACD" w:rsidRPr="00E06945" w:rsidRDefault="00DC4ACD" w:rsidP="00DC4ACD">
            <w:pPr>
              <w:spacing w:after="0" w:line="240" w:lineRule="auto"/>
              <w:rPr>
                <w:rFonts w:ascii="Cambria" w:eastAsia="Times New Roman" w:hAnsi="Cambria" w:cs="Times New Roman"/>
                <w:sz w:val="4"/>
                <w:szCs w:val="24"/>
                <w:lang w:val="ro-RO" w:eastAsia="ru-RU"/>
              </w:rPr>
            </w:pPr>
          </w:p>
        </w:tc>
      </w:tr>
    </w:tbl>
    <w:p w14:paraId="7C7EB429" w14:textId="20F3A352" w:rsidR="00DC4ACD" w:rsidRPr="00E06945" w:rsidRDefault="00D037AA" w:rsidP="00B8657C">
      <w:pPr>
        <w:spacing w:after="0" w:line="240" w:lineRule="auto"/>
        <w:rPr>
          <w:rFonts w:ascii="Cambria" w:eastAsia="Times New Roman" w:hAnsi="Cambria" w:cs="Times New Roman"/>
          <w:sz w:val="24"/>
          <w:szCs w:val="24"/>
          <w:lang w:val="ro-RO" w:eastAsia="ru-RU"/>
        </w:rPr>
      </w:pPr>
      <w:r w:rsidRPr="00E06945">
        <w:rPr>
          <w:rFonts w:ascii="Cambria" w:hAnsi="Cambria" w:cs="Calibri Light"/>
          <w:noProof/>
          <w:lang w:eastAsia="ru-RU"/>
        </w:rPr>
        <mc:AlternateContent>
          <mc:Choice Requires="wps">
            <w:drawing>
              <wp:anchor distT="0" distB="0" distL="114300" distR="114300" simplePos="0" relativeHeight="251669504" behindDoc="0" locked="0" layoutInCell="1" allowOverlap="1" wp14:anchorId="75D581CB" wp14:editId="59A16D86">
                <wp:simplePos x="0" y="0"/>
                <wp:positionH relativeFrom="margin">
                  <wp:posOffset>-568960</wp:posOffset>
                </wp:positionH>
                <wp:positionV relativeFrom="page">
                  <wp:posOffset>602615</wp:posOffset>
                </wp:positionV>
                <wp:extent cx="6868795" cy="360045"/>
                <wp:effectExtent l="0" t="0" r="0" b="0"/>
                <wp:wrapNone/>
                <wp:docPr id="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EB2D" id="Rectangle 10" o:spid="_x0000_s1026" style="position:absolute;margin-left:-44.8pt;margin-top:47.45pt;width:540.85pt;height:2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" fillcolor="#1f3671" stroked="f" strokeweight="2pt">
                <w10:wrap anchorx="margin" anchory="page"/>
              </v:rect>
            </w:pict>
          </mc:Fallback>
        </mc:AlternateContent>
      </w:r>
      <w:r w:rsidRPr="00E06945">
        <w:rPr>
          <w:rFonts w:ascii="Cambria" w:hAnsi="Cambria" w:cs="Calibri Light"/>
          <w:noProof/>
          <w:lang w:eastAsia="ru-RU"/>
        </w:rPr>
        <mc:AlternateContent>
          <mc:Choice Requires="wps">
            <w:drawing>
              <wp:anchor distT="0" distB="0" distL="114300" distR="114300" simplePos="0" relativeHeight="251671552" behindDoc="0" locked="0" layoutInCell="1" allowOverlap="1" wp14:anchorId="1AE15025" wp14:editId="1CFB9BF4">
                <wp:simplePos x="0" y="0"/>
                <wp:positionH relativeFrom="margin">
                  <wp:posOffset>-568960</wp:posOffset>
                </wp:positionH>
                <wp:positionV relativeFrom="page">
                  <wp:posOffset>1012825</wp:posOffset>
                </wp:positionV>
                <wp:extent cx="6868795" cy="179705"/>
                <wp:effectExtent l="0" t="0" r="0" b="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3AF3E" id="Rectangle 9" o:spid="_x0000_s1026" style="position:absolute;margin-left:-44.8pt;margin-top:79.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" fillcolor="#00b0f0" stroked="f" strokeweight="2pt">
                <w10:wrap anchorx="margin" anchory="page"/>
              </v:rect>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tblGrid>
      <w:tr w:rsidR="00555F58" w:rsidRPr="00E06945" w14:paraId="5D4188A8" w14:textId="77777777" w:rsidTr="00DC4ACD">
        <w:trPr>
          <w:gridAfter w:val="1"/>
          <w:trHeight w:val="1035"/>
          <w:tblCellSpacing w:w="0" w:type="dxa"/>
        </w:trPr>
        <w:tc>
          <w:tcPr>
            <w:tcW w:w="6" w:type="dxa"/>
            <w:vAlign w:val="center"/>
            <w:hideMark/>
          </w:tcPr>
          <w:p w14:paraId="23D27E3C" w14:textId="77777777" w:rsidR="00DC4ACD" w:rsidRPr="00E06945" w:rsidRDefault="00DC4ACD" w:rsidP="00DC4ACD">
            <w:pPr>
              <w:spacing w:after="0" w:line="240" w:lineRule="auto"/>
              <w:rPr>
                <w:rFonts w:ascii="Cambria" w:eastAsia="Times New Roman" w:hAnsi="Cambria" w:cs="Times New Roman"/>
                <w:sz w:val="24"/>
                <w:szCs w:val="24"/>
                <w:lang w:val="ro-RO" w:eastAsia="ru-RU"/>
              </w:rPr>
            </w:pPr>
          </w:p>
        </w:tc>
      </w:tr>
      <w:tr w:rsidR="00555F58" w:rsidRPr="00E06945" w14:paraId="617DEF02" w14:textId="77777777" w:rsidTr="00DC4ACD">
        <w:trPr>
          <w:tblCellSpacing w:w="0" w:type="dxa"/>
        </w:trPr>
        <w:tc>
          <w:tcPr>
            <w:tcW w:w="0" w:type="auto"/>
            <w:vAlign w:val="center"/>
            <w:hideMark/>
          </w:tcPr>
          <w:p w14:paraId="36246C19" w14:textId="77777777" w:rsidR="00DC4ACD" w:rsidRPr="00E06945" w:rsidRDefault="00DC4ACD" w:rsidP="00DC4ACD">
            <w:pPr>
              <w:spacing w:after="0" w:line="240" w:lineRule="auto"/>
              <w:rPr>
                <w:rFonts w:ascii="Cambria" w:eastAsia="Times New Roman" w:hAnsi="Cambria" w:cs="Times New Roman"/>
                <w:sz w:val="24"/>
                <w:szCs w:val="24"/>
                <w:lang w:val="ro-RO" w:eastAsia="ru-RU"/>
              </w:rPr>
            </w:pPr>
          </w:p>
        </w:tc>
        <w:tc>
          <w:tcPr>
            <w:tcW w:w="0" w:type="auto"/>
            <w:vAlign w:val="center"/>
            <w:hideMark/>
          </w:tcPr>
          <w:p w14:paraId="2E53D778" w14:textId="44EADD3B" w:rsidR="00DC4ACD" w:rsidRPr="00E06945" w:rsidRDefault="00DC4ACD" w:rsidP="00DC4ACD">
            <w:pPr>
              <w:spacing w:after="0" w:line="240" w:lineRule="auto"/>
              <w:rPr>
                <w:rFonts w:ascii="Cambria" w:eastAsia="Times New Roman" w:hAnsi="Cambria" w:cs="Times New Roman"/>
                <w:sz w:val="24"/>
                <w:szCs w:val="24"/>
                <w:lang w:val="ro-RO" w:eastAsia="ru-RU"/>
              </w:rPr>
            </w:pPr>
          </w:p>
        </w:tc>
      </w:tr>
    </w:tbl>
    <w:p w14:paraId="37470674" w14:textId="06629FD4" w:rsidR="00DC4ACD" w:rsidRPr="00E06945" w:rsidRDefault="00DC4ACD" w:rsidP="00B8657C">
      <w:pPr>
        <w:spacing w:after="0" w:line="240" w:lineRule="auto"/>
        <w:jc w:val="center"/>
        <w:rPr>
          <w:rFonts w:ascii="Cambria" w:eastAsia="Times New Roman" w:hAnsi="Cambria" w:cs="Times New Roman"/>
          <w:sz w:val="24"/>
          <w:szCs w:val="24"/>
          <w:lang w:val="ro-RO" w:eastAsia="ru-RU"/>
        </w:rPr>
      </w:pPr>
    </w:p>
    <w:p w14:paraId="3ACF6B1B" w14:textId="380003E1" w:rsidR="00DC4ACD" w:rsidRPr="00E06945" w:rsidRDefault="00B8657C" w:rsidP="00DC4ACD">
      <w:pPr>
        <w:spacing w:after="0" w:line="240" w:lineRule="auto"/>
        <w:jc w:val="center"/>
        <w:rPr>
          <w:rFonts w:ascii="Cambria" w:eastAsia="Times New Roman" w:hAnsi="Cambria" w:cs="Times New Roman"/>
          <w:sz w:val="40"/>
          <w:szCs w:val="40"/>
          <w:lang w:val="ro-RO" w:eastAsia="ru-RU"/>
        </w:rPr>
      </w:pPr>
      <w:r w:rsidRPr="00E06945">
        <w:rPr>
          <w:rFonts w:ascii="Cambria" w:eastAsia="Times New Roman" w:hAnsi="Cambria" w:cs="Arial"/>
          <w:b/>
          <w:bCs/>
          <w:noProof/>
          <w:sz w:val="40"/>
          <w:szCs w:val="40"/>
          <w:lang w:eastAsia="ru-RU"/>
        </w:rPr>
        <w:drawing>
          <wp:inline distT="0" distB="0" distL="0" distR="0" wp14:anchorId="224C4F98" wp14:editId="03539176">
            <wp:extent cx="2247900" cy="704850"/>
            <wp:effectExtent l="0" t="0" r="0" b="0"/>
            <wp:docPr id="1062748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704850"/>
                    </a:xfrm>
                    <a:prstGeom prst="rect">
                      <a:avLst/>
                    </a:prstGeom>
                    <a:noFill/>
                  </pic:spPr>
                </pic:pic>
              </a:graphicData>
            </a:graphic>
          </wp:inline>
        </w:drawing>
      </w:r>
      <w:r w:rsidR="00DC4ACD" w:rsidRPr="00E06945">
        <w:rPr>
          <w:rFonts w:ascii="Cambria" w:eastAsia="Times New Roman" w:hAnsi="Cambria" w:cs="Arial"/>
          <w:b/>
          <w:bCs/>
          <w:sz w:val="40"/>
          <w:szCs w:val="40"/>
          <w:lang w:val="ro-RO" w:eastAsia="ru-RU"/>
        </w:rPr>
        <w:t> </w:t>
      </w:r>
    </w:p>
    <w:p w14:paraId="26DF4DFE" w14:textId="77777777" w:rsidR="00B8657C" w:rsidRPr="00E06945" w:rsidRDefault="00B8657C" w:rsidP="00B8657C">
      <w:pPr>
        <w:spacing w:after="0" w:line="240" w:lineRule="auto"/>
        <w:jc w:val="center"/>
        <w:rPr>
          <w:rFonts w:ascii="Cambria" w:eastAsia="Times New Roman" w:hAnsi="Cambria" w:cs="Arial"/>
          <w:b/>
          <w:bCs/>
          <w:sz w:val="40"/>
          <w:szCs w:val="40"/>
          <w:lang w:val="ro-RO" w:eastAsia="ru-RU"/>
        </w:rPr>
      </w:pPr>
    </w:p>
    <w:p w14:paraId="5DE63350" w14:textId="77777777" w:rsidR="00B8657C" w:rsidRPr="00E06945" w:rsidRDefault="00B8657C" w:rsidP="00B8657C">
      <w:pPr>
        <w:spacing w:after="0" w:line="240" w:lineRule="auto"/>
        <w:jc w:val="center"/>
        <w:rPr>
          <w:rFonts w:ascii="Cambria" w:eastAsia="Times New Roman" w:hAnsi="Cambria" w:cs="Arial"/>
          <w:b/>
          <w:bCs/>
          <w:sz w:val="40"/>
          <w:szCs w:val="40"/>
          <w:lang w:val="ro-RO" w:eastAsia="ru-RU"/>
        </w:rPr>
      </w:pPr>
    </w:p>
    <w:p w14:paraId="7E74C78E" w14:textId="12F8F256" w:rsidR="00B8657C" w:rsidRPr="00E06945" w:rsidRDefault="00D4059A" w:rsidP="00B8657C">
      <w:pPr>
        <w:spacing w:after="0" w:line="240" w:lineRule="auto"/>
        <w:jc w:val="center"/>
        <w:rPr>
          <w:rFonts w:ascii="Cambria" w:eastAsia="Times New Roman" w:hAnsi="Cambria" w:cs="Arial"/>
          <w:b/>
          <w:bCs/>
          <w:sz w:val="40"/>
          <w:szCs w:val="40"/>
          <w:lang w:val="ro-RO" w:eastAsia="ru-RU"/>
        </w:rPr>
      </w:pPr>
      <w:r>
        <w:rPr>
          <w:rFonts w:ascii="Cambria" w:eastAsia="Times New Roman" w:hAnsi="Cambria" w:cs="Arial"/>
          <w:b/>
          <w:bCs/>
          <w:sz w:val="40"/>
          <w:szCs w:val="40"/>
          <w:lang w:val="ro-RO" w:eastAsia="ru-RU"/>
        </w:rPr>
        <w:t>IFAD Consolidated Programe Implementation Unit</w:t>
      </w:r>
    </w:p>
    <w:p w14:paraId="61188812" w14:textId="77777777" w:rsidR="00B8657C" w:rsidRPr="00E06945" w:rsidRDefault="00B8657C" w:rsidP="00B8657C">
      <w:pPr>
        <w:spacing w:after="0" w:line="240" w:lineRule="auto"/>
        <w:jc w:val="center"/>
        <w:rPr>
          <w:rFonts w:ascii="Cambria" w:eastAsia="Times New Roman" w:hAnsi="Cambria" w:cs="Arial"/>
          <w:b/>
          <w:bCs/>
          <w:sz w:val="44"/>
          <w:szCs w:val="44"/>
          <w:lang w:val="ro-RO" w:eastAsia="ru-RU"/>
        </w:rPr>
      </w:pPr>
      <w:r w:rsidRPr="00E06945">
        <w:rPr>
          <w:rFonts w:ascii="Cambria" w:eastAsia="Times New Roman" w:hAnsi="Cambria" w:cs="Arial"/>
          <w:b/>
          <w:bCs/>
          <w:sz w:val="44"/>
          <w:szCs w:val="44"/>
          <w:lang w:val="ro-RO" w:eastAsia="ru-RU"/>
        </w:rPr>
        <w:t xml:space="preserve"> </w:t>
      </w:r>
    </w:p>
    <w:p w14:paraId="13EBA204" w14:textId="51B32282" w:rsidR="00901842" w:rsidRPr="00901842" w:rsidRDefault="00901842" w:rsidP="00901842">
      <w:pPr>
        <w:spacing w:after="0" w:line="240" w:lineRule="auto"/>
        <w:jc w:val="center"/>
        <w:rPr>
          <w:rFonts w:ascii="Cambria" w:eastAsia="Times New Roman" w:hAnsi="Cambria" w:cs="Arial"/>
          <w:b/>
          <w:bCs/>
          <w:sz w:val="40"/>
          <w:szCs w:val="40"/>
          <w:lang w:val="ro-RO" w:eastAsia="ru-RU"/>
        </w:rPr>
      </w:pPr>
      <w:r>
        <w:rPr>
          <w:rFonts w:ascii="Cambria" w:eastAsia="Times New Roman" w:hAnsi="Cambria" w:cs="Arial"/>
          <w:b/>
          <w:bCs/>
          <w:sz w:val="40"/>
          <w:szCs w:val="40"/>
          <w:lang w:val="ro-RO" w:eastAsia="ru-RU"/>
        </w:rPr>
        <w:t xml:space="preserve">Terms of the Reference </w:t>
      </w:r>
    </w:p>
    <w:p w14:paraId="13524650" w14:textId="77777777" w:rsidR="00DC4ACD" w:rsidRPr="00E06945" w:rsidRDefault="00DC4ACD" w:rsidP="00DC4ACD">
      <w:pPr>
        <w:spacing w:after="0" w:line="240" w:lineRule="auto"/>
        <w:jc w:val="center"/>
        <w:rPr>
          <w:rFonts w:ascii="Cambria" w:eastAsia="Times New Roman" w:hAnsi="Cambria" w:cs="Times New Roman"/>
          <w:sz w:val="44"/>
          <w:szCs w:val="44"/>
          <w:lang w:val="ro-RO" w:eastAsia="ru-RU"/>
        </w:rPr>
      </w:pPr>
      <w:r w:rsidRPr="00E06945">
        <w:rPr>
          <w:rFonts w:ascii="Cambria" w:eastAsia="Times New Roman" w:hAnsi="Cambria" w:cs="Arial"/>
          <w:b/>
          <w:bCs/>
          <w:sz w:val="44"/>
          <w:szCs w:val="44"/>
          <w:lang w:val="ro-RO" w:eastAsia="ru-RU"/>
        </w:rPr>
        <w:t> </w:t>
      </w:r>
    </w:p>
    <w:p w14:paraId="282C8E49" w14:textId="575B1D7E" w:rsidR="00DC4ACD" w:rsidRPr="00E06945" w:rsidRDefault="00DC4ACD" w:rsidP="00B8657C">
      <w:pPr>
        <w:spacing w:after="0" w:line="240" w:lineRule="auto"/>
        <w:rPr>
          <w:rFonts w:ascii="Cambria" w:eastAsia="Times New Roman" w:hAnsi="Cambria" w:cs="Times New Roman"/>
          <w:sz w:val="24"/>
          <w:szCs w:val="24"/>
          <w:lang w:val="ro-RO" w:eastAsia="ru-RU"/>
        </w:rPr>
      </w:pPr>
    </w:p>
    <w:p w14:paraId="2DBBC158" w14:textId="77777777" w:rsidR="00DC4ACD" w:rsidRPr="00E06945" w:rsidRDefault="00DC4ACD" w:rsidP="00DC4ACD">
      <w:pPr>
        <w:spacing w:after="0" w:line="240" w:lineRule="auto"/>
        <w:jc w:val="center"/>
        <w:rPr>
          <w:rFonts w:ascii="Cambria" w:eastAsia="Times New Roman" w:hAnsi="Cambria" w:cs="Times New Roman"/>
          <w:sz w:val="24"/>
          <w:szCs w:val="24"/>
          <w:lang w:val="ro-RO" w:eastAsia="ru-RU"/>
        </w:rPr>
      </w:pPr>
      <w:r w:rsidRPr="00E06945">
        <w:rPr>
          <w:rFonts w:ascii="Cambria" w:eastAsia="Times New Roman" w:hAnsi="Cambria" w:cs="Arial"/>
          <w:sz w:val="24"/>
          <w:szCs w:val="24"/>
          <w:lang w:val="ro-RO" w:eastAsia="ru-RU"/>
        </w:rPr>
        <w:t> </w:t>
      </w:r>
    </w:p>
    <w:p w14:paraId="66CE1945" w14:textId="3E5851D9" w:rsidR="00B8657C" w:rsidRPr="00E06945" w:rsidRDefault="00901842" w:rsidP="00DC4ACD">
      <w:pPr>
        <w:spacing w:after="0" w:line="240" w:lineRule="auto"/>
        <w:jc w:val="center"/>
        <w:rPr>
          <w:rFonts w:ascii="Cambria" w:eastAsia="Times New Roman" w:hAnsi="Cambria" w:cs="Arial"/>
          <w:sz w:val="28"/>
          <w:szCs w:val="28"/>
          <w:lang w:val="ro-RO" w:eastAsia="ru-RU"/>
        </w:rPr>
      </w:pPr>
      <w:r w:rsidRPr="00901842">
        <w:rPr>
          <w:rFonts w:ascii="Cambria" w:eastAsia="Times New Roman" w:hAnsi="Cambria" w:cs="Arial"/>
          <w:i/>
          <w:iCs/>
          <w:sz w:val="44"/>
          <w:szCs w:val="56"/>
          <w:lang w:val="ro-RO" w:eastAsia="ru-RU"/>
        </w:rPr>
        <w:t>Selection of Potential Value Chains and Value Chain Analysis (VCA)</w:t>
      </w:r>
    </w:p>
    <w:p w14:paraId="7CAFD1D5" w14:textId="77777777" w:rsidR="00D4059A" w:rsidRDefault="00D4059A" w:rsidP="00DC4ACD">
      <w:pPr>
        <w:spacing w:after="0" w:line="240" w:lineRule="auto"/>
        <w:jc w:val="center"/>
        <w:rPr>
          <w:rFonts w:ascii="Cambria" w:eastAsia="Times New Roman" w:hAnsi="Cambria" w:cs="Arial"/>
          <w:sz w:val="28"/>
          <w:szCs w:val="28"/>
          <w:lang w:val="ro-RO" w:eastAsia="ru-RU"/>
        </w:rPr>
      </w:pPr>
    </w:p>
    <w:p w14:paraId="5C096B1B" w14:textId="46613DA9" w:rsidR="00DC4ACD" w:rsidRPr="00E06945" w:rsidRDefault="00DC4ACD" w:rsidP="00DC4ACD">
      <w:pPr>
        <w:spacing w:after="0" w:line="240" w:lineRule="auto"/>
        <w:jc w:val="center"/>
        <w:rPr>
          <w:rFonts w:ascii="Cambria" w:eastAsia="Times New Roman" w:hAnsi="Cambria" w:cs="Times New Roman"/>
          <w:sz w:val="28"/>
          <w:szCs w:val="28"/>
          <w:lang w:val="ro-RO" w:eastAsia="ru-RU"/>
        </w:rPr>
      </w:pPr>
      <w:r w:rsidRPr="00E06945">
        <w:rPr>
          <w:rFonts w:ascii="Cambria" w:eastAsia="Times New Roman" w:hAnsi="Cambria" w:cs="Arial"/>
          <w:sz w:val="28"/>
          <w:szCs w:val="28"/>
          <w:lang w:val="ro-RO" w:eastAsia="ru-RU"/>
        </w:rPr>
        <w:t>Ref N</w:t>
      </w:r>
      <w:r w:rsidR="00B8657C" w:rsidRPr="00E06945">
        <w:rPr>
          <w:rFonts w:ascii="Cambria" w:eastAsia="Times New Roman" w:hAnsi="Cambria" w:cs="Arial"/>
          <w:sz w:val="28"/>
          <w:szCs w:val="28"/>
          <w:lang w:val="ro-RO" w:eastAsia="ru-RU"/>
        </w:rPr>
        <w:t>o</w:t>
      </w:r>
      <w:r w:rsidRPr="00E06945">
        <w:rPr>
          <w:rFonts w:ascii="Cambria" w:eastAsia="Times New Roman" w:hAnsi="Cambria" w:cs="Arial"/>
          <w:sz w:val="28"/>
          <w:szCs w:val="28"/>
          <w:lang w:val="ro-RO" w:eastAsia="ru-RU"/>
        </w:rPr>
        <w:t>:</w:t>
      </w:r>
      <w:r w:rsidRPr="00E06945">
        <w:rPr>
          <w:rFonts w:ascii="Cambria" w:eastAsia="Times New Roman" w:hAnsi="Cambria" w:cs="Arial"/>
          <w:b/>
          <w:bCs/>
          <w:sz w:val="28"/>
          <w:szCs w:val="28"/>
          <w:lang w:val="ro-RO" w:eastAsia="ru-RU"/>
        </w:rPr>
        <w:t xml:space="preserve"> </w:t>
      </w:r>
      <w:r w:rsidR="00C41EFF">
        <w:rPr>
          <w:rFonts w:ascii="Cambria" w:eastAsia="Times New Roman" w:hAnsi="Cambria" w:cs="Arial"/>
          <w:i/>
          <w:iCs/>
          <w:sz w:val="28"/>
          <w:szCs w:val="28"/>
          <w:lang w:val="ro-RO" w:eastAsia="ru-RU"/>
        </w:rPr>
        <w:t>42</w:t>
      </w:r>
      <w:r w:rsidR="00080E63" w:rsidRPr="00E06945">
        <w:rPr>
          <w:rFonts w:ascii="Cambria" w:eastAsia="Times New Roman" w:hAnsi="Cambria" w:cs="Arial"/>
          <w:i/>
          <w:iCs/>
          <w:sz w:val="28"/>
          <w:szCs w:val="28"/>
          <w:lang w:val="ro-RO" w:eastAsia="ru-RU"/>
        </w:rPr>
        <w:t>/2</w:t>
      </w:r>
      <w:r w:rsidR="00B24296" w:rsidRPr="00E06945">
        <w:rPr>
          <w:rFonts w:ascii="Cambria" w:eastAsia="Times New Roman" w:hAnsi="Cambria" w:cs="Arial"/>
          <w:i/>
          <w:iCs/>
          <w:sz w:val="28"/>
          <w:szCs w:val="28"/>
          <w:lang w:val="ro-RO" w:eastAsia="ru-RU"/>
        </w:rPr>
        <w:t>4</w:t>
      </w:r>
      <w:r w:rsidR="00080E63" w:rsidRPr="00E06945">
        <w:rPr>
          <w:rFonts w:ascii="Cambria" w:eastAsia="Times New Roman" w:hAnsi="Cambria" w:cs="Arial"/>
          <w:i/>
          <w:iCs/>
          <w:sz w:val="28"/>
          <w:szCs w:val="28"/>
          <w:lang w:val="ro-RO" w:eastAsia="ru-RU"/>
        </w:rPr>
        <w:t xml:space="preserve"> TRTP</w:t>
      </w:r>
      <w:r w:rsidRPr="00E06945">
        <w:rPr>
          <w:rFonts w:ascii="Cambria" w:eastAsia="Times New Roman" w:hAnsi="Cambria" w:cs="Times New Roman"/>
          <w:i/>
          <w:iCs/>
          <w:sz w:val="28"/>
          <w:szCs w:val="28"/>
          <w:lang w:val="ro-RO" w:eastAsia="ru-RU"/>
        </w:rPr>
        <w:t xml:space="preserve"> </w:t>
      </w:r>
    </w:p>
    <w:p w14:paraId="705ECDDC" w14:textId="77777777" w:rsidR="00DC4ACD" w:rsidRPr="00E06945" w:rsidRDefault="00DC4ACD" w:rsidP="00DC4ACD">
      <w:pPr>
        <w:spacing w:after="0" w:line="240" w:lineRule="auto"/>
        <w:jc w:val="center"/>
        <w:rPr>
          <w:rFonts w:ascii="Cambria" w:eastAsia="Times New Roman" w:hAnsi="Cambria" w:cs="Times New Roman"/>
          <w:sz w:val="24"/>
          <w:szCs w:val="24"/>
          <w:lang w:val="ro-RO" w:eastAsia="ru-RU"/>
        </w:rPr>
      </w:pPr>
      <w:r w:rsidRPr="00E06945">
        <w:rPr>
          <w:rFonts w:ascii="Cambria" w:eastAsia="Times New Roman" w:hAnsi="Cambria" w:cs="Arial"/>
          <w:b/>
          <w:bCs/>
          <w:sz w:val="20"/>
          <w:szCs w:val="20"/>
          <w:lang w:val="ro-RO" w:eastAsia="ru-RU"/>
        </w:rPr>
        <w:t> </w:t>
      </w:r>
    </w:p>
    <w:p w14:paraId="000C7613" w14:textId="77777777" w:rsidR="00DC4ACD" w:rsidRPr="00E06945" w:rsidRDefault="00DC4ACD" w:rsidP="00DC4ACD">
      <w:pPr>
        <w:spacing w:after="0" w:line="240" w:lineRule="auto"/>
        <w:jc w:val="center"/>
        <w:rPr>
          <w:rFonts w:ascii="Cambria" w:eastAsia="Times New Roman" w:hAnsi="Cambria" w:cs="Times New Roman"/>
          <w:sz w:val="24"/>
          <w:szCs w:val="24"/>
          <w:lang w:val="ro-RO" w:eastAsia="ru-RU"/>
        </w:rPr>
      </w:pPr>
      <w:r w:rsidRPr="00E06945">
        <w:rPr>
          <w:rFonts w:ascii="Cambria" w:eastAsia="Times New Roman" w:hAnsi="Cambria" w:cs="Arial"/>
          <w:b/>
          <w:bCs/>
          <w:sz w:val="24"/>
          <w:szCs w:val="24"/>
          <w:lang w:val="ro-RO" w:eastAsia="ru-RU"/>
        </w:rPr>
        <w:t> </w:t>
      </w:r>
    </w:p>
    <w:p w14:paraId="791A61D5" w14:textId="77777777" w:rsidR="00DC4ACD" w:rsidRPr="00E06945" w:rsidRDefault="00DC4ACD" w:rsidP="00DC4ACD">
      <w:pPr>
        <w:spacing w:after="0" w:line="240" w:lineRule="auto"/>
        <w:jc w:val="center"/>
        <w:rPr>
          <w:rFonts w:ascii="Cambria" w:eastAsia="Times New Roman" w:hAnsi="Cambria" w:cs="Times New Roman"/>
          <w:sz w:val="24"/>
          <w:szCs w:val="24"/>
          <w:lang w:val="ro-RO" w:eastAsia="ru-RU"/>
        </w:rPr>
      </w:pPr>
      <w:r w:rsidRPr="00E06945">
        <w:rPr>
          <w:rFonts w:ascii="Cambria" w:eastAsia="Times New Roman" w:hAnsi="Cambria" w:cs="Arial"/>
          <w:b/>
          <w:bCs/>
          <w:sz w:val="24"/>
          <w:szCs w:val="24"/>
          <w:lang w:val="ro-RO" w:eastAsia="ru-RU"/>
        </w:rPr>
        <w:t> </w:t>
      </w:r>
    </w:p>
    <w:p w14:paraId="47FF1A41" w14:textId="77777777" w:rsidR="00D4059A" w:rsidRDefault="00D4059A" w:rsidP="009A3415">
      <w:pPr>
        <w:spacing w:after="0" w:line="240" w:lineRule="auto"/>
        <w:rPr>
          <w:rFonts w:ascii="Cambria" w:eastAsia="Times New Roman" w:hAnsi="Cambria" w:cs="Arial"/>
          <w:b/>
          <w:bCs/>
          <w:sz w:val="24"/>
          <w:szCs w:val="24"/>
          <w:lang w:val="ro-RO" w:eastAsia="ru-RU"/>
        </w:rPr>
      </w:pPr>
    </w:p>
    <w:p w14:paraId="04282BA9" w14:textId="61C16984" w:rsidR="00DC4ACD" w:rsidRPr="00E06945" w:rsidRDefault="009A3415" w:rsidP="009A3415">
      <w:pPr>
        <w:spacing w:after="0" w:line="240" w:lineRule="auto"/>
        <w:rPr>
          <w:rFonts w:ascii="Cambria" w:eastAsia="Times New Roman" w:hAnsi="Cambria" w:cs="Times New Roman"/>
          <w:sz w:val="24"/>
          <w:szCs w:val="24"/>
          <w:lang w:val="ro-RO" w:eastAsia="ru-RU"/>
        </w:rPr>
      </w:pPr>
      <w:r w:rsidRPr="00E06945">
        <w:rPr>
          <w:rFonts w:ascii="Cambria" w:eastAsia="Times New Roman" w:hAnsi="Cambria" w:cs="Arial"/>
          <w:b/>
          <w:bCs/>
          <w:sz w:val="24"/>
          <w:szCs w:val="24"/>
          <w:lang w:val="ro-RO" w:eastAsia="ru-RU"/>
        </w:rPr>
        <w:t xml:space="preserve"> </w:t>
      </w:r>
      <w:r w:rsidR="00C41EFF">
        <w:rPr>
          <w:rFonts w:ascii="Cambria" w:eastAsia="Times New Roman" w:hAnsi="Cambria" w:cs="Arial"/>
          <w:b/>
          <w:bCs/>
          <w:sz w:val="24"/>
          <w:szCs w:val="24"/>
          <w:lang w:val="ro-RO" w:eastAsia="ru-RU"/>
        </w:rPr>
        <w:t>19</w:t>
      </w:r>
      <w:r w:rsidR="00F575D0">
        <w:rPr>
          <w:rFonts w:ascii="Cambria" w:eastAsia="Times New Roman" w:hAnsi="Cambria" w:cs="Arial"/>
          <w:b/>
          <w:bCs/>
          <w:sz w:val="24"/>
          <w:szCs w:val="24"/>
          <w:lang w:val="ro-RO" w:eastAsia="ru-RU"/>
        </w:rPr>
        <w:t xml:space="preserve"> </w:t>
      </w:r>
      <w:r w:rsidR="00901842">
        <w:rPr>
          <w:rFonts w:ascii="Cambria" w:eastAsia="Times New Roman" w:hAnsi="Cambria" w:cs="Arial"/>
          <w:b/>
          <w:bCs/>
          <w:sz w:val="24"/>
          <w:szCs w:val="24"/>
          <w:lang w:val="ro-RO" w:eastAsia="ru-RU"/>
        </w:rPr>
        <w:t>July</w:t>
      </w:r>
      <w:r w:rsidR="00F575D0">
        <w:rPr>
          <w:rFonts w:ascii="Cambria" w:eastAsia="Times New Roman" w:hAnsi="Cambria" w:cs="Arial"/>
          <w:b/>
          <w:bCs/>
          <w:sz w:val="24"/>
          <w:szCs w:val="24"/>
          <w:lang w:val="ro-RO" w:eastAsia="ru-RU"/>
        </w:rPr>
        <w:t xml:space="preserve"> 2024</w:t>
      </w:r>
    </w:p>
    <w:p w14:paraId="141F964A" w14:textId="18C70B60" w:rsidR="009A3415" w:rsidRPr="00E06945" w:rsidRDefault="00DC4ACD" w:rsidP="009A3415">
      <w:pPr>
        <w:pStyle w:val="Header"/>
        <w:pBdr>
          <w:bottom w:val="single" w:sz="4" w:space="0" w:color="auto"/>
        </w:pBdr>
        <w:jc w:val="center"/>
        <w:rPr>
          <w:rFonts w:ascii="Cambria" w:hAnsi="Cambria" w:cs="Calibri Light"/>
          <w:lang w:val="ro-RO"/>
        </w:rPr>
      </w:pPr>
      <w:r w:rsidRPr="00E06945">
        <w:rPr>
          <w:rFonts w:ascii="Cambria" w:hAnsi="Cambria" w:cs="Arial"/>
          <w:b/>
          <w:bCs/>
          <w:sz w:val="24"/>
          <w:szCs w:val="24"/>
          <w:lang w:val="ro-RO" w:eastAsia="ru-RU"/>
        </w:rPr>
        <w:br w:type="page"/>
      </w:r>
      <w:r w:rsidRPr="00E06945">
        <w:rPr>
          <w:rFonts w:ascii="Cambria" w:hAnsi="Cambria" w:cs="Arial"/>
          <w:b/>
          <w:bCs/>
          <w:sz w:val="24"/>
          <w:szCs w:val="24"/>
          <w:lang w:val="ro-RO" w:eastAsia="ru-RU"/>
        </w:rPr>
        <w:lastRenderedPageBreak/>
        <w:t> </w:t>
      </w:r>
      <w:r w:rsidR="00D037AA" w:rsidRPr="00E06945">
        <w:rPr>
          <w:rFonts w:ascii="Cambria" w:hAnsi="Cambria" w:cs="Calibri Light"/>
          <w:noProof/>
          <w:lang w:val="ru-RU" w:eastAsia="ru-RU"/>
        </w:rPr>
        <mc:AlternateContent>
          <mc:Choice Requires="wps">
            <w:drawing>
              <wp:anchor distT="0" distB="0" distL="114300" distR="114300" simplePos="0" relativeHeight="251679744" behindDoc="0" locked="0" layoutInCell="1" allowOverlap="1" wp14:anchorId="17AE0C93" wp14:editId="2BC752FA">
                <wp:simplePos x="0" y="0"/>
                <wp:positionH relativeFrom="margin">
                  <wp:align>center</wp:align>
                </wp:positionH>
                <wp:positionV relativeFrom="page">
                  <wp:posOffset>450215</wp:posOffset>
                </wp:positionV>
                <wp:extent cx="6868795" cy="3600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0CA09" id="Rectangle 6" o:spid="_x0000_s1026" style="position:absolute;margin-left:0;margin-top:35.45pt;width:540.85pt;height:28.3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" fillcolor="#1f3671" stroked="f" strokeweight="2pt">
                <w10:wrap anchorx="margin" anchory="page"/>
              </v:rect>
            </w:pict>
          </mc:Fallback>
        </mc:AlternateContent>
      </w:r>
      <w:r w:rsidR="00D037AA" w:rsidRPr="00E06945">
        <w:rPr>
          <w:rFonts w:ascii="Cambria" w:hAnsi="Cambria" w:cs="Calibri Light"/>
          <w:noProof/>
          <w:lang w:val="ru-RU" w:eastAsia="ru-RU"/>
        </w:rPr>
        <mc:AlternateContent>
          <mc:Choice Requires="wps">
            <w:drawing>
              <wp:anchor distT="0" distB="0" distL="114300" distR="114300" simplePos="0" relativeHeight="251680768" behindDoc="0" locked="0" layoutInCell="1" allowOverlap="1" wp14:anchorId="0B250EF0" wp14:editId="50896DCC">
                <wp:simplePos x="0" y="0"/>
                <wp:positionH relativeFrom="margin">
                  <wp:align>center</wp:align>
                </wp:positionH>
                <wp:positionV relativeFrom="page">
                  <wp:posOffset>860425</wp:posOffset>
                </wp:positionV>
                <wp:extent cx="6868795" cy="179705"/>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14A8" id="Rectangle 5" o:spid="_x0000_s1026" style="position:absolute;margin-left:0;margin-top:67.75pt;width:540.85pt;height:14.1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" fillcolor="#00b0f0" stroked="f" strokeweight="2pt">
                <w10:wrap anchorx="margin" anchory="page"/>
              </v:rect>
            </w:pict>
          </mc:Fallback>
        </mc:AlternateContent>
      </w:r>
    </w:p>
    <w:p w14:paraId="1AD54896" w14:textId="77777777" w:rsidR="00DC4ACD" w:rsidRPr="00E06945" w:rsidRDefault="00DC4ACD" w:rsidP="00DC4ACD">
      <w:pPr>
        <w:spacing w:after="0" w:line="240" w:lineRule="auto"/>
        <w:rPr>
          <w:rFonts w:ascii="Cambria" w:eastAsia="Times New Roman" w:hAnsi="Cambria" w:cs="Times New Roman"/>
          <w:sz w:val="24"/>
          <w:szCs w:val="24"/>
          <w:lang w:val="ro-RO" w:eastAsia="ru-RU"/>
        </w:rPr>
      </w:pPr>
    </w:p>
    <w:p w14:paraId="034E62B6" w14:textId="77777777" w:rsidR="00DC4ACD" w:rsidRPr="00E06945" w:rsidRDefault="00DC4ACD" w:rsidP="00DC4ACD">
      <w:pPr>
        <w:spacing w:after="0" w:line="240" w:lineRule="auto"/>
        <w:ind w:left="-567"/>
        <w:rPr>
          <w:rFonts w:ascii="Cambria" w:eastAsia="Times New Roman" w:hAnsi="Cambria" w:cs="Times New Roman"/>
          <w:sz w:val="24"/>
          <w:szCs w:val="24"/>
          <w:lang w:val="ro-RO" w:eastAsia="ru-RU"/>
        </w:rPr>
      </w:pPr>
      <w:r w:rsidRPr="00E06945">
        <w:rPr>
          <w:rFonts w:ascii="Cambria" w:eastAsia="Times New Roman" w:hAnsi="Cambria" w:cs="Arial"/>
          <w:b/>
          <w:bCs/>
          <w:sz w:val="28"/>
          <w:szCs w:val="28"/>
          <w:lang w:val="ro-RO" w:eastAsia="ru-RU"/>
        </w:rPr>
        <w:t> </w:t>
      </w:r>
    </w:p>
    <w:p w14:paraId="712D86C7" w14:textId="77777777" w:rsidR="00DC4ACD" w:rsidRPr="00E06945" w:rsidRDefault="00DC4ACD" w:rsidP="00DC4ACD">
      <w:pPr>
        <w:spacing w:after="0" w:line="240" w:lineRule="auto"/>
        <w:jc w:val="center"/>
        <w:rPr>
          <w:rFonts w:ascii="Cambria" w:eastAsia="Times New Roman" w:hAnsi="Cambria" w:cs="Times New Roman"/>
          <w:sz w:val="24"/>
          <w:szCs w:val="24"/>
          <w:lang w:val="ro-RO" w:eastAsia="ru-RU"/>
        </w:rPr>
      </w:pPr>
      <w:r w:rsidRPr="00E06945">
        <w:rPr>
          <w:rFonts w:ascii="Cambria" w:eastAsia="Times New Roman" w:hAnsi="Cambria" w:cs="Times New Roman"/>
          <w:b/>
          <w:bCs/>
          <w:spacing w:val="8"/>
          <w:sz w:val="46"/>
          <w:szCs w:val="46"/>
          <w:lang w:val="ro-RO" w:eastAsia="ru-RU"/>
        </w:rPr>
        <w:t> </w:t>
      </w:r>
    </w:p>
    <w:p w14:paraId="45F402EB" w14:textId="11EE34DE" w:rsidR="009A3415" w:rsidRPr="00E06945" w:rsidRDefault="00D4059A" w:rsidP="00DC4ACD">
      <w:pPr>
        <w:spacing w:after="0" w:line="240" w:lineRule="auto"/>
        <w:ind w:left="397" w:right="397"/>
        <w:jc w:val="center"/>
        <w:rPr>
          <w:rFonts w:ascii="Cambria" w:eastAsia="Times New Roman" w:hAnsi="Cambria" w:cs="Times New Roman"/>
          <w:sz w:val="24"/>
          <w:szCs w:val="24"/>
          <w:lang w:val="ro-RO" w:eastAsia="ru-RU"/>
        </w:rPr>
      </w:pPr>
      <w:r w:rsidRPr="00D4059A">
        <w:rPr>
          <w:rFonts w:ascii="Cambria" w:eastAsia="Times New Roman" w:hAnsi="Cambria" w:cs="Arial"/>
          <w:b/>
          <w:bCs/>
          <w:spacing w:val="8"/>
          <w:sz w:val="46"/>
          <w:szCs w:val="46"/>
          <w:lang w:val="ro-RO" w:eastAsia="ru-RU"/>
        </w:rPr>
        <w:t>Foreword</w:t>
      </w:r>
    </w:p>
    <w:p w14:paraId="40D1A50A" w14:textId="77777777" w:rsidR="00D4059A" w:rsidRPr="00D4059A" w:rsidRDefault="00D4059A" w:rsidP="00D4059A">
      <w:pPr>
        <w:spacing w:before="144" w:after="0" w:line="240" w:lineRule="auto"/>
        <w:ind w:left="397" w:right="397"/>
        <w:jc w:val="both"/>
        <w:rPr>
          <w:rFonts w:ascii="Cambria" w:eastAsia="Times New Roman" w:hAnsi="Cambria" w:cs="Arial"/>
          <w:spacing w:val="-2"/>
          <w:lang w:val="en-US" w:eastAsia="ru-RU"/>
        </w:rPr>
      </w:pPr>
      <w:r w:rsidRPr="00D4059A">
        <w:rPr>
          <w:rFonts w:ascii="Cambria" w:eastAsia="Times New Roman" w:hAnsi="Cambria" w:cs="Arial"/>
          <w:spacing w:val="-2"/>
          <w:lang w:val="en-US" w:eastAsia="ru-RU"/>
        </w:rPr>
        <w:t>These Terms of Reference have been prepared by the IFAD Consolidated Programme Implementation Unit (UCIP IFAD) and are based on the first edition of the IFAD Standard Procurement Document Template for Terms of Reference available at www.ifad.org/project-procurement. This document is to be used for the procurement of services in IFAD-financed projects.</w:t>
      </w:r>
    </w:p>
    <w:p w14:paraId="0CBD1FDE" w14:textId="45B535DE" w:rsidR="00DC4ACD" w:rsidRPr="00901842" w:rsidRDefault="00D4059A" w:rsidP="00D4059A">
      <w:pPr>
        <w:spacing w:before="144" w:after="0" w:line="240" w:lineRule="auto"/>
        <w:ind w:left="397" w:right="397"/>
        <w:jc w:val="center"/>
        <w:rPr>
          <w:rFonts w:ascii="Cambria" w:eastAsia="Times New Roman" w:hAnsi="Cambria" w:cs="Times New Roman"/>
          <w:sz w:val="24"/>
          <w:szCs w:val="24"/>
          <w:lang w:val="en-US" w:eastAsia="ru-RU"/>
        </w:rPr>
      </w:pPr>
      <w:r w:rsidRPr="00D4059A">
        <w:rPr>
          <w:rFonts w:ascii="Cambria" w:eastAsia="Times New Roman" w:hAnsi="Cambria" w:cs="Arial"/>
          <w:spacing w:val="-2"/>
          <w:lang w:val="en-US" w:eastAsia="ru-RU"/>
        </w:rPr>
        <w:t>IFAD does not guarantee the completeness, accuracy or translation, if any, or any other aspect related to the contents of this document.</w:t>
      </w:r>
      <w:r w:rsidR="00DC4ACD" w:rsidRPr="00E06945">
        <w:rPr>
          <w:rFonts w:ascii="Cambria" w:eastAsia="Times New Roman" w:hAnsi="Cambria" w:cs="Arial"/>
          <w:spacing w:val="-2"/>
          <w:lang w:val="ro-RO" w:eastAsia="ru-RU"/>
        </w:rPr>
        <w:br w:type="page"/>
      </w:r>
      <w:r w:rsidR="00901842" w:rsidRPr="00901842">
        <w:rPr>
          <w:rFonts w:ascii="Cambria" w:eastAsia="Times New Roman" w:hAnsi="Cambria" w:cs="Arial"/>
          <w:b/>
          <w:bCs/>
          <w:sz w:val="24"/>
          <w:szCs w:val="24"/>
          <w:lang w:val="en-US" w:eastAsia="ru-RU"/>
        </w:rPr>
        <w:lastRenderedPageBreak/>
        <w:t>Terms of the Reference</w:t>
      </w:r>
    </w:p>
    <w:p w14:paraId="24CDDFB8" w14:textId="5FDF79B0" w:rsidR="00B9261B" w:rsidRPr="00901842" w:rsidRDefault="00901842" w:rsidP="00D4059A">
      <w:pPr>
        <w:pStyle w:val="Outline2"/>
        <w:tabs>
          <w:tab w:val="left" w:pos="-2880"/>
          <w:tab w:val="left" w:pos="864"/>
        </w:tabs>
        <w:spacing w:before="120"/>
        <w:mirrorIndents/>
        <w:jc w:val="center"/>
        <w:rPr>
          <w:rFonts w:ascii="Cambria" w:hAnsi="Cambria" w:cstheme="minorHAnsi"/>
          <w:b/>
          <w:bCs/>
          <w:lang w:val="en-US"/>
        </w:rPr>
      </w:pPr>
      <w:r w:rsidRPr="00901842">
        <w:rPr>
          <w:rFonts w:ascii="Cambria" w:hAnsi="Cambria" w:cs="Arial"/>
          <w:b/>
          <w:bCs/>
          <w:i/>
          <w:iCs/>
          <w:lang w:val="en-US"/>
        </w:rPr>
        <w:t>Selection of Potential Value Chains and Value Chain Analysis (VCA)</w:t>
      </w:r>
    </w:p>
    <w:p w14:paraId="0607DEDF" w14:textId="77777777" w:rsidR="00901842" w:rsidRPr="004844C8" w:rsidRDefault="00901842" w:rsidP="00901842">
      <w:pPr>
        <w:pStyle w:val="Heading1"/>
        <w:spacing w:after="180"/>
        <w:rPr>
          <w:rFonts w:ascii="Cambria" w:hAnsi="Cambria"/>
          <w:szCs w:val="20"/>
        </w:rPr>
      </w:pPr>
      <w:r w:rsidRPr="004844C8">
        <w:rPr>
          <w:rFonts w:ascii="Cambria" w:hAnsi="Cambria"/>
          <w:w w:val="105"/>
          <w:szCs w:val="20"/>
        </w:rPr>
        <w:t>Background</w:t>
      </w:r>
    </w:p>
    <w:p w14:paraId="76FDC4EF" w14:textId="77777777" w:rsidR="00901842" w:rsidRPr="004844C8" w:rsidRDefault="00901842" w:rsidP="00901842">
      <w:pPr>
        <w:pStyle w:val="BodyText"/>
        <w:rPr>
          <w:rFonts w:ascii="Cambria" w:hAnsi="Cambria"/>
          <w:szCs w:val="20"/>
        </w:rPr>
      </w:pPr>
      <w:r w:rsidRPr="004844C8">
        <w:rPr>
          <w:rFonts w:ascii="Cambria" w:hAnsi="Cambria"/>
          <w:szCs w:val="20"/>
        </w:rPr>
        <w:t>The agricultural sector is the backbone of the Moldovan economy, contributing 11 percent of GDP, 22 percent of employment, and 45 percent of exports. Small</w:t>
      </w:r>
      <w:r w:rsidRPr="004844C8">
        <w:rPr>
          <w:rFonts w:ascii="Cambria" w:hAnsi="Cambria"/>
          <w:spacing w:val="-10"/>
          <w:szCs w:val="20"/>
        </w:rPr>
        <w:t xml:space="preserve"> </w:t>
      </w:r>
      <w:r w:rsidRPr="004844C8">
        <w:rPr>
          <w:rFonts w:ascii="Cambria" w:hAnsi="Cambria"/>
          <w:szCs w:val="20"/>
        </w:rPr>
        <w:t>farms</w:t>
      </w:r>
      <w:r w:rsidRPr="004844C8">
        <w:rPr>
          <w:rFonts w:ascii="Cambria" w:hAnsi="Cambria"/>
          <w:spacing w:val="-10"/>
          <w:szCs w:val="20"/>
        </w:rPr>
        <w:t xml:space="preserve"> </w:t>
      </w:r>
      <w:r w:rsidRPr="004844C8">
        <w:rPr>
          <w:rFonts w:ascii="Cambria" w:hAnsi="Cambria"/>
          <w:szCs w:val="20"/>
        </w:rPr>
        <w:t>with</w:t>
      </w:r>
      <w:r w:rsidRPr="004844C8">
        <w:rPr>
          <w:rFonts w:ascii="Cambria" w:hAnsi="Cambria"/>
          <w:spacing w:val="-9"/>
          <w:szCs w:val="20"/>
        </w:rPr>
        <w:t xml:space="preserve"> </w:t>
      </w:r>
      <w:r w:rsidRPr="004844C8">
        <w:rPr>
          <w:rFonts w:ascii="Cambria" w:hAnsi="Cambria"/>
          <w:szCs w:val="20"/>
        </w:rPr>
        <w:t>less</w:t>
      </w:r>
      <w:r w:rsidRPr="004844C8">
        <w:rPr>
          <w:rFonts w:ascii="Cambria" w:hAnsi="Cambria"/>
          <w:spacing w:val="-10"/>
          <w:szCs w:val="20"/>
        </w:rPr>
        <w:t xml:space="preserve"> </w:t>
      </w:r>
      <w:r w:rsidRPr="004844C8">
        <w:rPr>
          <w:rFonts w:ascii="Cambria" w:hAnsi="Cambria"/>
          <w:szCs w:val="20"/>
        </w:rPr>
        <w:t>than</w:t>
      </w:r>
      <w:r w:rsidRPr="004844C8">
        <w:rPr>
          <w:rFonts w:ascii="Cambria" w:hAnsi="Cambria"/>
          <w:spacing w:val="-7"/>
          <w:szCs w:val="20"/>
        </w:rPr>
        <w:t xml:space="preserve"> </w:t>
      </w:r>
      <w:r w:rsidRPr="004844C8">
        <w:rPr>
          <w:rFonts w:ascii="Cambria" w:hAnsi="Cambria"/>
          <w:szCs w:val="20"/>
        </w:rPr>
        <w:t>3</w:t>
      </w:r>
      <w:r w:rsidRPr="004844C8">
        <w:rPr>
          <w:rFonts w:ascii="Cambria" w:hAnsi="Cambria"/>
          <w:spacing w:val="-9"/>
          <w:szCs w:val="20"/>
        </w:rPr>
        <w:t xml:space="preserve"> </w:t>
      </w:r>
      <w:r w:rsidRPr="004844C8">
        <w:rPr>
          <w:rFonts w:ascii="Cambria" w:hAnsi="Cambria"/>
          <w:szCs w:val="20"/>
        </w:rPr>
        <w:t>ha</w:t>
      </w:r>
      <w:r w:rsidRPr="004844C8">
        <w:rPr>
          <w:rFonts w:ascii="Cambria" w:hAnsi="Cambria"/>
          <w:spacing w:val="-12"/>
          <w:szCs w:val="20"/>
        </w:rPr>
        <w:t xml:space="preserve"> </w:t>
      </w:r>
      <w:r w:rsidRPr="004844C8">
        <w:rPr>
          <w:rFonts w:ascii="Cambria" w:hAnsi="Cambria"/>
          <w:szCs w:val="20"/>
        </w:rPr>
        <w:t>of</w:t>
      </w:r>
      <w:r w:rsidRPr="004844C8">
        <w:rPr>
          <w:rFonts w:ascii="Cambria" w:hAnsi="Cambria"/>
          <w:spacing w:val="-9"/>
          <w:szCs w:val="20"/>
        </w:rPr>
        <w:t xml:space="preserve"> </w:t>
      </w:r>
      <w:r w:rsidRPr="004844C8">
        <w:rPr>
          <w:rFonts w:ascii="Cambria" w:hAnsi="Cambria"/>
          <w:szCs w:val="20"/>
        </w:rPr>
        <w:t>land</w:t>
      </w:r>
      <w:r w:rsidRPr="004844C8">
        <w:rPr>
          <w:rFonts w:ascii="Cambria" w:hAnsi="Cambria"/>
          <w:spacing w:val="-9"/>
          <w:szCs w:val="20"/>
        </w:rPr>
        <w:t xml:space="preserve"> </w:t>
      </w:r>
      <w:r w:rsidRPr="004844C8">
        <w:rPr>
          <w:rFonts w:ascii="Cambria" w:hAnsi="Cambria"/>
          <w:szCs w:val="20"/>
        </w:rPr>
        <w:t>constitute</w:t>
      </w:r>
      <w:r w:rsidRPr="004844C8">
        <w:rPr>
          <w:rFonts w:ascii="Cambria" w:hAnsi="Cambria"/>
          <w:spacing w:val="-9"/>
          <w:szCs w:val="20"/>
        </w:rPr>
        <w:t xml:space="preserve"> </w:t>
      </w:r>
      <w:r w:rsidRPr="004844C8">
        <w:rPr>
          <w:rFonts w:ascii="Cambria" w:hAnsi="Cambria"/>
          <w:szCs w:val="20"/>
        </w:rPr>
        <w:t>95</w:t>
      </w:r>
      <w:r w:rsidRPr="004844C8">
        <w:rPr>
          <w:rFonts w:ascii="Cambria" w:hAnsi="Cambria"/>
          <w:spacing w:val="-11"/>
          <w:szCs w:val="20"/>
        </w:rPr>
        <w:t xml:space="preserve"> </w:t>
      </w:r>
      <w:r w:rsidRPr="004844C8">
        <w:rPr>
          <w:rFonts w:ascii="Cambria" w:hAnsi="Cambria"/>
          <w:szCs w:val="20"/>
        </w:rPr>
        <w:t>percent</w:t>
      </w:r>
      <w:r w:rsidRPr="004844C8">
        <w:rPr>
          <w:rFonts w:ascii="Cambria" w:hAnsi="Cambria"/>
          <w:spacing w:val="-10"/>
          <w:szCs w:val="20"/>
        </w:rPr>
        <w:t xml:space="preserve"> </w:t>
      </w:r>
      <w:r w:rsidRPr="004844C8">
        <w:rPr>
          <w:rFonts w:ascii="Cambria" w:hAnsi="Cambria"/>
          <w:szCs w:val="20"/>
        </w:rPr>
        <w:t>of the total 900,000 farms. The remaining 5 percent of farms are composed of commercial medium-sized farms of              3 to 50 ha and large farms of more than 50 ha, with the concept of Family Farming reaching up to 70</w:t>
      </w:r>
      <w:r w:rsidRPr="004844C8">
        <w:rPr>
          <w:rFonts w:ascii="Cambria" w:hAnsi="Cambria"/>
          <w:szCs w:val="20"/>
          <w:lang w:val="ro-RO"/>
        </w:rPr>
        <w:t xml:space="preserve"> </w:t>
      </w:r>
      <w:r w:rsidRPr="004844C8">
        <w:rPr>
          <w:rFonts w:ascii="Cambria" w:hAnsi="Cambria"/>
          <w:szCs w:val="20"/>
        </w:rPr>
        <w:t>ha. While small farms generate 71% of all agriculture output, they are mostly engaged in subsistence and semi-subsistence farming and diversify their income with pensions, wage employment and remittances. The lack of jobs, particularly in the rural areas, is driving substantial outmigration of young people, which in turn contributes to an ageing population.</w:t>
      </w:r>
    </w:p>
    <w:p w14:paraId="0079004F" w14:textId="77777777" w:rsidR="00901842" w:rsidRPr="004844C8" w:rsidRDefault="00901842" w:rsidP="00901842">
      <w:pPr>
        <w:pStyle w:val="BodyText"/>
        <w:rPr>
          <w:rFonts w:ascii="Cambria" w:hAnsi="Cambria"/>
          <w:szCs w:val="20"/>
        </w:rPr>
      </w:pPr>
      <w:r w:rsidRPr="004844C8">
        <w:rPr>
          <w:rFonts w:ascii="Cambria" w:hAnsi="Cambria"/>
          <w:szCs w:val="20"/>
        </w:rPr>
        <w:t>Transition from semi-subsistence to commercial agriculture has been slow, because of the small size of land plots (0.85 ha on average), vulnerability to climate change and associated shocks, lack of access to services and finance, barriers for entering modern markets, lack of access to water and irrigation facilities, as well as livelihood strategies that table on subsistence agriculture as a safety net.</w:t>
      </w:r>
    </w:p>
    <w:p w14:paraId="3D0D975D" w14:textId="77777777" w:rsidR="00901842" w:rsidRPr="004844C8" w:rsidRDefault="00901842" w:rsidP="00901842">
      <w:pPr>
        <w:pStyle w:val="BodyText"/>
        <w:rPr>
          <w:rFonts w:ascii="Cambria" w:hAnsi="Cambria"/>
          <w:szCs w:val="20"/>
        </w:rPr>
      </w:pPr>
      <w:r w:rsidRPr="004844C8">
        <w:rPr>
          <w:rFonts w:ascii="Cambria" w:hAnsi="Cambria"/>
          <w:szCs w:val="20"/>
        </w:rPr>
        <w:t>Yet agriculture offers a range of opportunities for developing profitable, commercial farming, including fertile soil, potential for import-substitution, a growing network of supermarkets catering for the urban population, a free trade agreement with the EU and the suspension of EU import duties on a series of high value agricultural products (plums, table grapes, apples, tomatoes, garlic, cherries, and grape juice), as well as emerging promising models of partnership agreements between large farmers and smallholders, and between farmers and processors.</w:t>
      </w:r>
    </w:p>
    <w:p w14:paraId="4D749B42" w14:textId="5C4BC983" w:rsidR="00901842" w:rsidRPr="004844C8" w:rsidRDefault="00901842" w:rsidP="00901842">
      <w:pPr>
        <w:pStyle w:val="BodyText"/>
        <w:rPr>
          <w:rFonts w:ascii="Cambria" w:hAnsi="Cambria"/>
          <w:szCs w:val="20"/>
        </w:rPr>
      </w:pPr>
      <w:r w:rsidRPr="004844C8">
        <w:rPr>
          <w:rFonts w:ascii="Cambria" w:hAnsi="Cambria"/>
          <w:szCs w:val="20"/>
        </w:rPr>
        <w:t>Against this backdrop, the Government of Moldova has requested IFAD to assist in designing and financing a project, Agriculture Rural Growth and Innovation in Moldova (AGRI-M) that will increase the income of small farmers and young people in target value chains from increased productivity, market linkages and organization. To generate impact and promote economies of scale, the project will focus on a limited number of high value agricultural commodities.</w:t>
      </w:r>
      <w:r w:rsidR="00C41EFF">
        <w:rPr>
          <w:rFonts w:ascii="Cambria" w:hAnsi="Cambria"/>
          <w:szCs w:val="20"/>
        </w:rPr>
        <w:t xml:space="preserve"> </w:t>
      </w:r>
      <w:r w:rsidRPr="004844C8">
        <w:rPr>
          <w:rFonts w:ascii="Cambria" w:hAnsi="Cambria"/>
          <w:szCs w:val="20"/>
        </w:rPr>
        <w:t>Climate change resilience  is expected to constitute a key investment.</w:t>
      </w:r>
    </w:p>
    <w:p w14:paraId="0D751B6E" w14:textId="77777777" w:rsidR="00901842" w:rsidRPr="004844C8" w:rsidRDefault="00901842" w:rsidP="00901842">
      <w:pPr>
        <w:pStyle w:val="BodyText"/>
        <w:spacing w:after="240"/>
        <w:rPr>
          <w:rFonts w:ascii="Cambria" w:hAnsi="Cambria"/>
          <w:szCs w:val="20"/>
        </w:rPr>
      </w:pPr>
      <w:r w:rsidRPr="004844C8">
        <w:rPr>
          <w:rFonts w:ascii="Cambria" w:hAnsi="Cambria"/>
          <w:szCs w:val="20"/>
        </w:rPr>
        <w:t>In order to inform the finalization of the new project design and in line with the procedure newly introduced by the Ministry of Finance for the approval of investment projects, a feasibility study is to be conducted such as on the Selection of Potential Value Chains and Value Chain Analysis.</w:t>
      </w:r>
    </w:p>
    <w:p w14:paraId="60AA0661" w14:textId="77777777" w:rsidR="00901842" w:rsidRPr="004844C8" w:rsidRDefault="00901842" w:rsidP="00901842">
      <w:pPr>
        <w:pStyle w:val="Heading1"/>
        <w:rPr>
          <w:rFonts w:ascii="Cambria" w:hAnsi="Cambria"/>
          <w:szCs w:val="20"/>
        </w:rPr>
      </w:pPr>
      <w:r w:rsidRPr="004844C8">
        <w:rPr>
          <w:rFonts w:ascii="Cambria" w:hAnsi="Cambria"/>
          <w:szCs w:val="20"/>
        </w:rPr>
        <w:t>Objectives</w:t>
      </w:r>
    </w:p>
    <w:p w14:paraId="75C392A6" w14:textId="77777777" w:rsidR="00901842" w:rsidRPr="004844C8" w:rsidRDefault="00901842" w:rsidP="00901842">
      <w:pPr>
        <w:pStyle w:val="BodyText"/>
        <w:spacing w:line="242" w:lineRule="auto"/>
        <w:ind w:left="445" w:right="119" w:firstLine="2"/>
        <w:rPr>
          <w:rFonts w:ascii="Cambria" w:hAnsi="Cambria"/>
          <w:szCs w:val="20"/>
        </w:rPr>
      </w:pPr>
      <w:r w:rsidRPr="004844C8">
        <w:rPr>
          <w:rFonts w:ascii="Cambria" w:hAnsi="Cambria"/>
          <w:szCs w:val="20"/>
        </w:rPr>
        <w:t xml:space="preserve">The main objectives of this study are to: </w:t>
      </w:r>
    </w:p>
    <w:p w14:paraId="6ADDDB38"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identify priority high value agriculture value chains that could be promoted by AGRI-M, based on a rapid mapping and ranking of potential commodities;</w:t>
      </w:r>
    </w:p>
    <w:p w14:paraId="5C2FE95B"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select the four most promising ones, based on ranking against selection criteria;</w:t>
      </w:r>
    </w:p>
    <w:p w14:paraId="35182532" w14:textId="77777777" w:rsidR="00901842" w:rsidRPr="00C41EFF" w:rsidRDefault="00901842" w:rsidP="00901842">
      <w:pPr>
        <w:pStyle w:val="ListParagraph"/>
        <w:widowControl w:val="0"/>
        <w:autoSpaceDE w:val="0"/>
        <w:autoSpaceDN w:val="0"/>
        <w:spacing w:after="240"/>
        <w:ind w:left="714"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conduct a value chain analysis for each of the selected commodities and provide recommendations as to priority interventions to be financed by AGRI-M;</w:t>
      </w:r>
    </w:p>
    <w:p w14:paraId="7A57C088" w14:textId="77777777" w:rsidR="00901842" w:rsidRPr="004844C8" w:rsidRDefault="00901842" w:rsidP="00901842">
      <w:pPr>
        <w:pStyle w:val="Heading1"/>
        <w:spacing w:after="240"/>
        <w:rPr>
          <w:rFonts w:ascii="Cambria" w:hAnsi="Cambria"/>
          <w:szCs w:val="20"/>
        </w:rPr>
      </w:pPr>
      <w:r w:rsidRPr="004844C8">
        <w:rPr>
          <w:rFonts w:ascii="Cambria" w:hAnsi="Cambria"/>
          <w:szCs w:val="20"/>
        </w:rPr>
        <w:t>Description of tasks</w:t>
      </w:r>
    </w:p>
    <w:p w14:paraId="13822BA7" w14:textId="77777777" w:rsidR="00901842" w:rsidRPr="004844C8" w:rsidRDefault="00901842" w:rsidP="00901842">
      <w:pPr>
        <w:pStyle w:val="Heading1"/>
        <w:numPr>
          <w:ilvl w:val="0"/>
          <w:numId w:val="0"/>
        </w:numPr>
        <w:ind w:left="420"/>
        <w:rPr>
          <w:rFonts w:ascii="Cambria" w:hAnsi="Cambria"/>
          <w:szCs w:val="20"/>
        </w:rPr>
      </w:pPr>
      <w:r w:rsidRPr="004844C8">
        <w:rPr>
          <w:rFonts w:ascii="Cambria" w:hAnsi="Cambria"/>
          <w:szCs w:val="20"/>
        </w:rPr>
        <w:t xml:space="preserve">Phase 1: Pre-selection of value chains </w:t>
      </w:r>
    </w:p>
    <w:p w14:paraId="03D15E18" w14:textId="77777777" w:rsidR="00901842" w:rsidRPr="004844C8" w:rsidRDefault="00901842" w:rsidP="00901842">
      <w:pPr>
        <w:pStyle w:val="BodyText"/>
        <w:rPr>
          <w:rFonts w:ascii="Cambria" w:hAnsi="Cambria"/>
          <w:szCs w:val="20"/>
        </w:rPr>
      </w:pPr>
      <w:r w:rsidRPr="004844C8">
        <w:rPr>
          <w:rFonts w:ascii="Cambria" w:hAnsi="Cambria"/>
          <w:szCs w:val="20"/>
        </w:rPr>
        <w:t xml:space="preserve">The pre-selection of value chains will be based on a desk review of existing value chain and competitiveness analyses. A preliminary list of documents is attached in Annex 1. IFAD’s Consolidated Programme Implementation Unit (CPIU) will assist in further researching available documents, including through </w:t>
      </w:r>
      <w:r w:rsidRPr="004844C8">
        <w:rPr>
          <w:rFonts w:ascii="Cambria" w:hAnsi="Cambria"/>
          <w:szCs w:val="20"/>
        </w:rPr>
        <w:lastRenderedPageBreak/>
        <w:t>contacts with the Ministry of Agriculture and Food Industries, as well as development partners.</w:t>
      </w:r>
    </w:p>
    <w:p w14:paraId="12136995" w14:textId="77777777" w:rsidR="00901842" w:rsidRPr="00C41EFF" w:rsidRDefault="00901842" w:rsidP="00901842">
      <w:pPr>
        <w:pStyle w:val="BodyText"/>
        <w:rPr>
          <w:rFonts w:ascii="Cambria" w:hAnsi="Cambria"/>
          <w:szCs w:val="20"/>
        </w:rPr>
      </w:pPr>
      <w:r w:rsidRPr="004844C8">
        <w:rPr>
          <w:rFonts w:ascii="Cambria" w:hAnsi="Cambria"/>
          <w:szCs w:val="20"/>
        </w:rPr>
        <w:t xml:space="preserve">A preliminary list of high value commodities (i.e. agriculture/livestock-based commodities that typically yield high returns from the market) that are suitable for Family farming will be established. It is expected that the list would include a mix of domestic and export markets. Domestic markets should take into consideration modern markets in the food retail, food processing and hospitality sectors. Export markets would include European Union markets that are free of import tariffs, as well as other, accessible markets. </w:t>
      </w:r>
      <w:r w:rsidRPr="00C41EFF">
        <w:rPr>
          <w:rFonts w:ascii="Cambria" w:hAnsi="Cambria"/>
          <w:szCs w:val="20"/>
        </w:rPr>
        <w:t>The list will be validated by the Ministry of Agriculture and Food Industries (MAFI).</w:t>
      </w:r>
    </w:p>
    <w:p w14:paraId="0DC628B6" w14:textId="77777777" w:rsidR="00901842" w:rsidRPr="00C41EFF" w:rsidRDefault="00901842" w:rsidP="00901842">
      <w:pPr>
        <w:pStyle w:val="BodyText"/>
        <w:rPr>
          <w:rFonts w:ascii="Cambria" w:hAnsi="Cambria"/>
          <w:szCs w:val="20"/>
        </w:rPr>
      </w:pPr>
      <w:r w:rsidRPr="00C41EFF">
        <w:rPr>
          <w:rFonts w:ascii="Cambria" w:hAnsi="Cambria"/>
          <w:szCs w:val="20"/>
        </w:rPr>
        <w:t>A set of criteria and respective weight to be used in scoring and ranking the preliminary list of high value commodities will then be defined jointly with MAFI.</w:t>
      </w:r>
      <w:r w:rsidRPr="004844C8">
        <w:rPr>
          <w:rFonts w:ascii="Cambria" w:hAnsi="Cambria"/>
          <w:szCs w:val="20"/>
        </w:rPr>
        <w:t xml:space="preserve"> Such criteria should include, but not necessarily be limited to, the following: </w:t>
      </w:r>
    </w:p>
    <w:p w14:paraId="06148EB6"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Suitability for micro and small farmers (Family Farm)</w:t>
      </w:r>
      <w:r w:rsidRPr="00C41EFF">
        <w:rPr>
          <w:rFonts w:ascii="Cambria" w:eastAsia="Times New Roman" w:hAnsi="Cambria" w:cs="Times New Roman"/>
          <w:sz w:val="20"/>
          <w:szCs w:val="20"/>
          <w:lang w:val="en-US"/>
        </w:rPr>
        <w:footnoteReference w:id="1"/>
      </w:r>
      <w:r w:rsidRPr="00C41EFF">
        <w:rPr>
          <w:rFonts w:ascii="Cambria" w:eastAsia="Times New Roman" w:hAnsi="Cambria" w:cs="Times New Roman"/>
          <w:sz w:val="20"/>
          <w:szCs w:val="20"/>
          <w:lang w:val="en-US"/>
        </w:rPr>
        <w:t xml:space="preserve">; </w:t>
      </w:r>
    </w:p>
    <w:p w14:paraId="5DB37F42"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Nutritious</w:t>
      </w:r>
      <w:r w:rsidRPr="00C41EFF">
        <w:rPr>
          <w:rFonts w:ascii="Cambria" w:eastAsia="Times New Roman" w:hAnsi="Cambria" w:cs="Times New Roman"/>
          <w:sz w:val="20"/>
          <w:szCs w:val="20"/>
          <w:lang w:val="en-US"/>
        </w:rPr>
        <w:footnoteReference w:id="2"/>
      </w:r>
      <w:r w:rsidRPr="00C41EFF">
        <w:rPr>
          <w:rFonts w:ascii="Cambria" w:eastAsia="Times New Roman" w:hAnsi="Cambria" w:cs="Times New Roman"/>
          <w:sz w:val="20"/>
          <w:szCs w:val="20"/>
          <w:lang w:val="en-US"/>
        </w:rPr>
        <w:t xml:space="preserve"> food crop (where targeting domestic market);</w:t>
      </w:r>
    </w:p>
    <w:p w14:paraId="4A25E815"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Potential for integrating young men and women, as well as smaller farmers;</w:t>
      </w:r>
    </w:p>
    <w:p w14:paraId="2B45570E"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Number of small farmers involved;</w:t>
      </w:r>
    </w:p>
    <w:p w14:paraId="1E297D5E" w14:textId="5A072946"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 xml:space="preserve">Potential for fast production/productivity growth, including </w:t>
      </w:r>
      <w:r w:rsidR="009D53D8" w:rsidRPr="00C41EFF">
        <w:rPr>
          <w:rFonts w:ascii="Cambria" w:eastAsia="Times New Roman" w:hAnsi="Cambria" w:cs="Times New Roman"/>
          <w:sz w:val="20"/>
          <w:szCs w:val="20"/>
          <w:lang w:val="en-US"/>
        </w:rPr>
        <w:t xml:space="preserve">but not limited </w:t>
      </w:r>
      <w:r w:rsidRPr="00C41EFF">
        <w:rPr>
          <w:rFonts w:ascii="Cambria" w:eastAsia="Times New Roman" w:hAnsi="Cambria" w:cs="Times New Roman"/>
          <w:sz w:val="20"/>
          <w:szCs w:val="20"/>
          <w:lang w:val="en-US"/>
        </w:rPr>
        <w:t xml:space="preserve">through irrigation, also for commercially-oriented farmers; </w:t>
      </w:r>
    </w:p>
    <w:p w14:paraId="38BB4B5A"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Market opportunities accessible to smallholders with further opportunities for demand growth;</w:t>
      </w:r>
    </w:p>
    <w:p w14:paraId="04468B20"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Potential for collective action and for developing partnerships between farmers and other value chains actors for accessing markets and embedded service;</w:t>
      </w:r>
    </w:p>
    <w:p w14:paraId="2153EC6B" w14:textId="77777777" w:rsidR="00901842" w:rsidRPr="00C41EFF" w:rsidRDefault="00901842" w:rsidP="00901842">
      <w:pPr>
        <w:pStyle w:val="ListParagraph"/>
        <w:widowControl w:val="0"/>
        <w:autoSpaceDE w:val="0"/>
        <w:autoSpaceDN w:val="0"/>
        <w:spacing w:after="240"/>
        <w:ind w:left="714"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Potential returns to smallholders, including from value adding (possibly value added/ha).</w:t>
      </w:r>
    </w:p>
    <w:p w14:paraId="2BA19BA4" w14:textId="77777777" w:rsidR="00901842" w:rsidRPr="00C41EFF" w:rsidRDefault="00901842" w:rsidP="00901842">
      <w:pPr>
        <w:pStyle w:val="ListParagraph"/>
        <w:widowControl w:val="0"/>
        <w:autoSpaceDE w:val="0"/>
        <w:autoSpaceDN w:val="0"/>
        <w:spacing w:after="240"/>
        <w:ind w:left="714"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 xml:space="preserve">Taking into account the potential to increase income from the value chain by including post-harvest, processing and marketing aspects. </w:t>
      </w:r>
    </w:p>
    <w:p w14:paraId="71DCA317" w14:textId="77777777" w:rsidR="00901842" w:rsidRPr="00C41EFF" w:rsidRDefault="00901842" w:rsidP="00901842">
      <w:pPr>
        <w:pStyle w:val="ListParagraph"/>
        <w:widowControl w:val="0"/>
        <w:autoSpaceDE w:val="0"/>
        <w:autoSpaceDN w:val="0"/>
        <w:spacing w:after="240"/>
        <w:ind w:left="714" w:right="125" w:hanging="357"/>
        <w:contextualSpacing w:val="0"/>
        <w:jc w:val="both"/>
        <w:rPr>
          <w:rFonts w:eastAsia="Times New Roman" w:cs="Times New Roman"/>
        </w:rPr>
      </w:pPr>
      <w:r w:rsidRPr="00C41EFF">
        <w:rPr>
          <w:rFonts w:eastAsia="Times New Roman" w:cs="Times New Roman"/>
        </w:rPr>
        <w:t>Special emphasis should be given to analyzing the vulnerability degree of the value chain due to climate change</w:t>
      </w:r>
    </w:p>
    <w:p w14:paraId="38699242" w14:textId="77777777" w:rsidR="00901842" w:rsidRPr="004844C8" w:rsidRDefault="00901842" w:rsidP="00901842">
      <w:pPr>
        <w:pStyle w:val="BodyText"/>
        <w:rPr>
          <w:rFonts w:ascii="Cambria" w:hAnsi="Cambria"/>
          <w:b/>
          <w:bCs/>
          <w:szCs w:val="20"/>
        </w:rPr>
      </w:pPr>
      <w:r w:rsidRPr="004844C8">
        <w:rPr>
          <w:rFonts w:ascii="Cambria" w:hAnsi="Cambria"/>
          <w:szCs w:val="20"/>
        </w:rPr>
        <w:t xml:space="preserve">A rapid mapping of the value chain for each of the high value commodities on the preliminary list will be conducted so they can be ranked, using the agreed criteria. </w:t>
      </w:r>
    </w:p>
    <w:p w14:paraId="451CACD7" w14:textId="77777777" w:rsidR="00901842" w:rsidRPr="004844C8" w:rsidRDefault="00901842" w:rsidP="00901842">
      <w:pPr>
        <w:pStyle w:val="BodyText"/>
        <w:rPr>
          <w:rFonts w:ascii="Cambria" w:hAnsi="Cambria"/>
          <w:b/>
          <w:bCs/>
          <w:szCs w:val="20"/>
        </w:rPr>
      </w:pPr>
      <w:r w:rsidRPr="004844C8">
        <w:rPr>
          <w:rFonts w:ascii="Cambria" w:hAnsi="Cambria"/>
          <w:szCs w:val="20"/>
        </w:rPr>
        <w:t>The output of Phase 1 will be a short report presenting a matrix with the ranking of mapped value chains, with a brief, evidence-based justification of ranking for each of them and a summary of opportunities and constraints.</w:t>
      </w:r>
    </w:p>
    <w:p w14:paraId="781F9D27" w14:textId="77777777" w:rsidR="00901842" w:rsidRPr="004844C8" w:rsidRDefault="00901842" w:rsidP="00901842">
      <w:pPr>
        <w:pStyle w:val="BodyText"/>
        <w:spacing w:after="240"/>
        <w:rPr>
          <w:rFonts w:ascii="Cambria" w:hAnsi="Cambria"/>
          <w:szCs w:val="20"/>
        </w:rPr>
      </w:pPr>
      <w:r w:rsidRPr="004844C8">
        <w:rPr>
          <w:rFonts w:ascii="Cambria" w:hAnsi="Cambria"/>
          <w:szCs w:val="20"/>
        </w:rPr>
        <w:t>Based on the output of Phase 1, MAFI and IFAD will agree on the four most promising value chains, which will be analyzed in the second phase.</w:t>
      </w:r>
    </w:p>
    <w:p w14:paraId="6FDCD455" w14:textId="77777777" w:rsidR="00901842" w:rsidRPr="004844C8" w:rsidRDefault="00901842" w:rsidP="00901842">
      <w:pPr>
        <w:pStyle w:val="Heading1"/>
        <w:numPr>
          <w:ilvl w:val="0"/>
          <w:numId w:val="0"/>
        </w:numPr>
        <w:ind w:left="420"/>
        <w:rPr>
          <w:rFonts w:ascii="Cambria" w:hAnsi="Cambria"/>
          <w:szCs w:val="20"/>
        </w:rPr>
      </w:pPr>
      <w:r w:rsidRPr="004844C8">
        <w:rPr>
          <w:rFonts w:ascii="Cambria" w:hAnsi="Cambria"/>
          <w:szCs w:val="20"/>
        </w:rPr>
        <w:lastRenderedPageBreak/>
        <w:t xml:space="preserve">Phase 2: Value chain analysis </w:t>
      </w:r>
    </w:p>
    <w:p w14:paraId="05CAA1C4" w14:textId="77777777" w:rsidR="00901842" w:rsidRPr="004844C8" w:rsidRDefault="00901842" w:rsidP="00901842">
      <w:pPr>
        <w:pStyle w:val="BodyText"/>
        <w:rPr>
          <w:rFonts w:ascii="Cambria" w:hAnsi="Cambria"/>
          <w:szCs w:val="20"/>
        </w:rPr>
      </w:pPr>
      <w:r w:rsidRPr="004844C8">
        <w:rPr>
          <w:rFonts w:ascii="Cambria" w:hAnsi="Cambria"/>
          <w:szCs w:val="20"/>
        </w:rPr>
        <w:t>A value chain analysis will be carried out for each of the pre-selected value chains. This will aim at providing the project design team with a clear understanding of the key features of the target value chains, the opportunities to build upon, the constraints to be addressed in the design, and recommended interventions.</w:t>
      </w:r>
    </w:p>
    <w:p w14:paraId="49AC8A6F" w14:textId="77777777" w:rsidR="00901842" w:rsidRPr="004844C8" w:rsidRDefault="00901842" w:rsidP="00901842">
      <w:pPr>
        <w:pStyle w:val="BodyText"/>
        <w:rPr>
          <w:rFonts w:ascii="Cambria" w:hAnsi="Cambria"/>
          <w:szCs w:val="20"/>
        </w:rPr>
      </w:pPr>
      <w:r w:rsidRPr="004844C8">
        <w:rPr>
          <w:rFonts w:ascii="Cambria" w:hAnsi="Cambria"/>
          <w:szCs w:val="20"/>
        </w:rPr>
        <w:t xml:space="preserve">Value chain analyses will be inclusive, in that it will include the systematic assessment of the </w:t>
      </w:r>
      <w:r w:rsidRPr="004844C8">
        <w:rPr>
          <w:rFonts w:ascii="Cambria" w:hAnsi="Cambria"/>
          <w:szCs w:val="20"/>
          <w:lang w:eastAsia="en-GB"/>
        </w:rPr>
        <w:t xml:space="preserve">barriers affecting young women and men as well as poorer/smaller producers, and the identification of the specific measures required for them to take advantage of economic opportunities. This will also include highlighting </w:t>
      </w:r>
      <w:r w:rsidRPr="004844C8">
        <w:rPr>
          <w:rFonts w:ascii="Cambria" w:hAnsi="Cambria"/>
          <w:szCs w:val="20"/>
        </w:rPr>
        <w:t>different gender roles, as well as the specificities of women and youth in the various parts of the analysis.</w:t>
      </w:r>
    </w:p>
    <w:p w14:paraId="7B47A0EF" w14:textId="77777777" w:rsidR="00901842" w:rsidRPr="004844C8" w:rsidRDefault="00901842" w:rsidP="00901842">
      <w:pPr>
        <w:pStyle w:val="BodyText"/>
        <w:rPr>
          <w:rFonts w:ascii="Cambria" w:hAnsi="Cambria"/>
          <w:szCs w:val="20"/>
        </w:rPr>
      </w:pPr>
      <w:r w:rsidRPr="004844C8">
        <w:rPr>
          <w:rFonts w:ascii="Cambria" w:hAnsi="Cambria"/>
          <w:szCs w:val="20"/>
        </w:rPr>
        <w:t>In addition to consultations/focus groups with farmers/associations active in the selected value chains, the analyses will build on the existing literature (including but not limited to studies in Annex 1 of these terms of reference) and will complement it with focused interviews of key players and data collection, so that project designers have the background information required to confirm project interventions.</w:t>
      </w:r>
    </w:p>
    <w:p w14:paraId="05F5DE26" w14:textId="77777777" w:rsidR="00901842" w:rsidRPr="004844C8" w:rsidRDefault="00901842" w:rsidP="00901842">
      <w:pPr>
        <w:pStyle w:val="BodyText"/>
        <w:spacing w:after="180"/>
        <w:rPr>
          <w:rFonts w:ascii="Cambria" w:hAnsi="Cambria"/>
          <w:szCs w:val="20"/>
        </w:rPr>
      </w:pPr>
      <w:r w:rsidRPr="004844C8">
        <w:rPr>
          <w:rFonts w:ascii="Cambria" w:hAnsi="Cambria"/>
          <w:szCs w:val="20"/>
        </w:rPr>
        <w:t>Each value chain analysis should cover the following:</w:t>
      </w:r>
    </w:p>
    <w:p w14:paraId="44580BE1"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Overview of the value chain</w:t>
      </w:r>
    </w:p>
    <w:p w14:paraId="00CC99CC"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Mapping of the value chain and sub-value chains: identify and map the structure of the value chain and sub-value chains and the whole range of operations from pre-production (supply of inputs) to processing and marketing; identify stakeholders (main buyers, processors and enablers); identify flows and volumes of exchange and types of relations between stakeholders; map price formation and distribution of value added between stakeholders; compare final price with imported products where applicable.</w:t>
      </w:r>
    </w:p>
    <w:p w14:paraId="4434DF88"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Typology of farmers participating in the value chain, with main features, opportunities and constraints; barriers preventing youth participation in the value chain; gender gaps; number of potential beneficiaries for AGRI-M target groups (smallholders, young women and men).</w:t>
      </w:r>
    </w:p>
    <w:p w14:paraId="3B7035A1"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Production, post-harvest, processing and logistics</w:t>
      </w:r>
    </w:p>
    <w:p w14:paraId="5AC642E5"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Supply: main types of farming systems, location and numbers of smallholders involved; production, productivity, history and trends and opportunities for growth; cost structure and profitability; labor needs and availability, and potential to minimize needs through machinery; access to land and challenges; minimum land size for viability.</w:t>
      </w:r>
    </w:p>
    <w:p w14:paraId="03012A21"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Risks: exposure to climate change risks and vulnerabilities, impact on production, adaptive capacities and current practices.</w:t>
      </w:r>
    </w:p>
    <w:p w14:paraId="5EB9ECC8"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Irrigation(for horticultural sector ONLY): availability and current use of irrigated land; types of irrigated systems and locations; productivity; existence of water users associations, main features, capacities, conditions for success, need for support.</w:t>
      </w:r>
    </w:p>
    <w:p w14:paraId="1DBDA8BA"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Post-harvest (e.g. storing/grading, drying, storing, conditioning, packaging), processing and logistics: locations, current capacity and practices, ownership, opportunities for development of common service facilities and challenges, investment gap and costs.</w:t>
      </w:r>
    </w:p>
    <w:p w14:paraId="0FFE998D"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 xml:space="preserve"> For the livestock sector: the level of development of the production infrastructure, interconnection with the processing sector, provision of veterinary and other relevant services, etc.</w:t>
      </w:r>
    </w:p>
    <w:p w14:paraId="35556F9E"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Level of vertical and horizontal association of farmers in the respective value chain</w:t>
      </w:r>
    </w:p>
    <w:p w14:paraId="29A7DF7C"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Innovation: opportunities/challenges for adoption of innovative technologies for improving production, post-harvest, processing and marketing, and for ensuring climate resiliency and environmental sustainability; opportunities for organic production.</w:t>
      </w:r>
    </w:p>
    <w:p w14:paraId="28355EC8"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lastRenderedPageBreak/>
        <w:t>Markets and competitiveness for the main product and associated products where applicable</w:t>
      </w:r>
    </w:p>
    <w:p w14:paraId="2281E41E"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End markets in Moldova (food processing, food retail, hospitality services, institutional markets such as hospitals, education facilities, prisons) and abroad: analysis of the demand and its overall structure (product categories, price segments and marketing channels); history and trends; market drivers; demand and opportunities for organic products and for certification.</w:t>
      </w:r>
    </w:p>
    <w:p w14:paraId="6C1914FC"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Product standards and requirements (food safety, packaging, grading, varieties, volumes, price points, etc.) for main markets.</w:t>
      </w:r>
    </w:p>
    <w:p w14:paraId="1946E955"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Competitiveness: benchmarking Moldovan products against competitive products already in the market; main competitors; potential for import-substitution; key bottlenecks and improvements required;</w:t>
      </w:r>
    </w:p>
    <w:p w14:paraId="50721701"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Barriers to market and small farmers’ constraints to access the different market segments. Identify best target markets and market channels for smallholders and for young people.</w:t>
      </w:r>
    </w:p>
    <w:p w14:paraId="43E952E3"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Value chain linkages</w:t>
      </w:r>
    </w:p>
    <w:p w14:paraId="691D99EA"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Vertical linkages: existing partnerships between farmers and private sector players for access to markets, inputs, services, and financing; key features of participants; types of partnerships; types of benefits for the partners; concrete examples and analysis of factors of success; opportunities and challenges for development and support required.</w:t>
      </w:r>
    </w:p>
    <w:p w14:paraId="2FA6A2D7"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Horizontal linkages: types (including cooperatives, producers’ groups, partnerships between small and large farmers, commodity-based organizations, water users’ associations…), main features (localization, geographical outreach, number and type of participants, capacities and gaps, services provided and received, contractual arrangements with other value chain stakeholders…), benefits and challenges; potential for growing service capacity, including through common service facilities for post-harvest, processing or logistics; support required.</w:t>
      </w:r>
    </w:p>
    <w:p w14:paraId="26C1DD1C"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Support services</w:t>
      </w:r>
    </w:p>
    <w:p w14:paraId="764C4E30" w14:textId="77777777" w:rsidR="00901842" w:rsidRPr="00C41EFF" w:rsidRDefault="00901842" w:rsidP="00901842">
      <w:pPr>
        <w:pStyle w:val="ListParagraph"/>
        <w:numPr>
          <w:ilvl w:val="1"/>
          <w:numId w:val="2"/>
        </w:numPr>
        <w:spacing w:after="120" w:line="264" w:lineRule="auto"/>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Business development services: types of private and public service providers, capacities, costs, challenges and opportunities; specifically for input supply: stakeholders and flows, quality of inputs, reliability and timeliness of supplies; specifically for nurseries, if relevant, identify existing capacity of supplying vegetable material and needs.</w:t>
      </w:r>
    </w:p>
    <w:p w14:paraId="68609187" w14:textId="77777777" w:rsidR="00901842" w:rsidRPr="00C41EFF" w:rsidRDefault="00901842" w:rsidP="00901842">
      <w:pPr>
        <w:pStyle w:val="ListParagraph"/>
        <w:numPr>
          <w:ilvl w:val="1"/>
          <w:numId w:val="2"/>
        </w:numPr>
        <w:spacing w:after="120" w:line="264" w:lineRule="auto"/>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 xml:space="preserve">Available subsidies: mapping of all subsidies available from government agencies and development partners, with eligibility criteria, terms and conditions. </w:t>
      </w:r>
    </w:p>
    <w:p w14:paraId="5BBBDF41" w14:textId="77777777" w:rsidR="00901842" w:rsidRPr="00C41EFF" w:rsidRDefault="00901842" w:rsidP="00901842">
      <w:pPr>
        <w:pStyle w:val="ListParagraph"/>
        <w:numPr>
          <w:ilvl w:val="1"/>
          <w:numId w:val="2"/>
        </w:numPr>
        <w:spacing w:after="120" w:line="264" w:lineRule="auto"/>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Initiatives of development partners: services provided with eligibility conditions; opportunities for synergies/complementarities.</w:t>
      </w:r>
    </w:p>
    <w:p w14:paraId="51709A14"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Enabling environment</w:t>
      </w:r>
    </w:p>
    <w:p w14:paraId="67D3C675"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 xml:space="preserve">Key policies and regulatory framework; gaps preventing or endangering the development of the value chain. </w:t>
      </w:r>
    </w:p>
    <w:p w14:paraId="42716480"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Institutional framework: relevant institutions, performance, main challenges and lessons learned; assessment of availability of service providers to provide technical and business development services (including commodity-based business/farmer associations (if existing) and national farmers’ organizations), outreach, gaps, opportunities for support; sources of innovation and technical assistance and opportunities for support.</w:t>
      </w:r>
    </w:p>
    <w:p w14:paraId="13294EDB"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Past, current and projected interventions supported by development partners, achievements, factors of success, challenges and lessons learned.</w:t>
      </w:r>
    </w:p>
    <w:p w14:paraId="32C2DE8F" w14:textId="77777777" w:rsidR="00901842" w:rsidRPr="00C41EFF" w:rsidRDefault="00901842" w:rsidP="00901842">
      <w:pPr>
        <w:pStyle w:val="ListParagraph"/>
        <w:widowControl w:val="0"/>
        <w:numPr>
          <w:ilvl w:val="1"/>
          <w:numId w:val="2"/>
        </w:numPr>
        <w:autoSpaceDE w:val="0"/>
        <w:autoSpaceDN w:val="0"/>
        <w:spacing w:after="120"/>
        <w:ind w:left="1208"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lastRenderedPageBreak/>
        <w:t>Certification: existence of public or private certification entities; certification procedures; value, constraints and opportunities for expanding.</w:t>
      </w:r>
    </w:p>
    <w:p w14:paraId="78E0D3DC"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Summary of key opportunities and major bottlenecks for development and inclusion of small farmers, women and youth.</w:t>
      </w:r>
    </w:p>
    <w:p w14:paraId="642C9CCD" w14:textId="77777777" w:rsidR="00901842" w:rsidRPr="00C41EFF" w:rsidRDefault="00901842" w:rsidP="00901842">
      <w:pPr>
        <w:pStyle w:val="ListParagraph"/>
        <w:widowControl w:val="0"/>
        <w:autoSpaceDE w:val="0"/>
        <w:autoSpaceDN w:val="0"/>
        <w:spacing w:after="120"/>
        <w:ind w:left="714"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 xml:space="preserve">Recommendations for the design of AGRI-M </w:t>
      </w:r>
    </w:p>
    <w:p w14:paraId="1E88444F" w14:textId="77777777" w:rsidR="00901842" w:rsidRPr="00C41EFF" w:rsidRDefault="00901842" w:rsidP="00901842">
      <w:pPr>
        <w:pStyle w:val="ListParagraph"/>
        <w:widowControl w:val="0"/>
        <w:numPr>
          <w:ilvl w:val="1"/>
          <w:numId w:val="2"/>
        </w:numPr>
        <w:autoSpaceDE w:val="0"/>
        <w:autoSpaceDN w:val="0"/>
        <w:spacing w:after="240"/>
        <w:ind w:right="125"/>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Summary of priority markets, interventions and entry points for improving the participation, productivity and revenues of small and commercial farmers, their organizations, and young women and men in the value chain;</w:t>
      </w:r>
    </w:p>
    <w:p w14:paraId="6CB14A63" w14:textId="77777777" w:rsidR="00901842" w:rsidRPr="00C41EFF" w:rsidRDefault="00901842" w:rsidP="00901842">
      <w:pPr>
        <w:pStyle w:val="ListParagraph"/>
        <w:widowControl w:val="0"/>
        <w:numPr>
          <w:ilvl w:val="1"/>
          <w:numId w:val="2"/>
        </w:numPr>
        <w:autoSpaceDE w:val="0"/>
        <w:autoSpaceDN w:val="0"/>
        <w:spacing w:after="240"/>
        <w:ind w:right="125"/>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Detailed package of investment and services recommended, including for integration of young women and men, with costs, available subsidies/supports and recommended matching grants to be financed by AGRI-M;</w:t>
      </w:r>
    </w:p>
    <w:p w14:paraId="687FA0F0" w14:textId="77777777" w:rsidR="00901842" w:rsidRPr="00C41EFF" w:rsidRDefault="00901842" w:rsidP="00901842">
      <w:pPr>
        <w:pStyle w:val="ListParagraph"/>
        <w:widowControl w:val="0"/>
        <w:numPr>
          <w:ilvl w:val="1"/>
          <w:numId w:val="2"/>
        </w:numPr>
        <w:autoSpaceDE w:val="0"/>
        <w:autoSpaceDN w:val="0"/>
        <w:spacing w:after="240"/>
        <w:ind w:right="125"/>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Synergies and complementarities with other development partners’ initiatives.</w:t>
      </w:r>
    </w:p>
    <w:p w14:paraId="034E0377" w14:textId="77777777" w:rsidR="00901842" w:rsidRPr="00C41EFF" w:rsidRDefault="00901842" w:rsidP="00901842">
      <w:pPr>
        <w:pStyle w:val="BodyText"/>
        <w:spacing w:after="240"/>
        <w:rPr>
          <w:rFonts w:ascii="Cambria" w:hAnsi="Cambria"/>
          <w:szCs w:val="20"/>
        </w:rPr>
      </w:pPr>
      <w:r w:rsidRPr="00C41EFF">
        <w:rPr>
          <w:rFonts w:ascii="Cambria" w:hAnsi="Cambria"/>
          <w:szCs w:val="20"/>
        </w:rPr>
        <w:t xml:space="preserve">The output of Phase 2 will be the detailed value chain analysis covering all of the above points, for each of the selected value chains. </w:t>
      </w:r>
    </w:p>
    <w:p w14:paraId="62E78B66" w14:textId="77777777" w:rsidR="00901842" w:rsidRPr="00C41EFF" w:rsidRDefault="00901842" w:rsidP="00901842">
      <w:pPr>
        <w:pStyle w:val="Heading1"/>
        <w:rPr>
          <w:rFonts w:ascii="Cambria" w:eastAsia="Times New Roman" w:hAnsi="Cambria" w:cs="Times New Roman"/>
          <w:b w:val="0"/>
          <w:bCs w:val="0"/>
          <w:szCs w:val="20"/>
        </w:rPr>
      </w:pPr>
      <w:r w:rsidRPr="00C41EFF">
        <w:rPr>
          <w:rFonts w:ascii="Cambria" w:eastAsia="Times New Roman" w:hAnsi="Cambria" w:cs="Times New Roman"/>
          <w:b w:val="0"/>
          <w:bCs w:val="0"/>
          <w:szCs w:val="20"/>
        </w:rPr>
        <w:t>Deliverables</w:t>
      </w:r>
    </w:p>
    <w:p w14:paraId="67DBB779" w14:textId="77777777" w:rsidR="00901842" w:rsidRPr="00C41EFF" w:rsidRDefault="00901842" w:rsidP="00901842">
      <w:pPr>
        <w:pStyle w:val="BodyText"/>
        <w:ind w:left="274"/>
        <w:rPr>
          <w:rFonts w:ascii="Cambria" w:hAnsi="Cambria"/>
          <w:szCs w:val="20"/>
        </w:rPr>
      </w:pPr>
      <w:r w:rsidRPr="00C41EFF">
        <w:rPr>
          <w:rFonts w:ascii="Cambria" w:hAnsi="Cambria"/>
          <w:szCs w:val="20"/>
        </w:rPr>
        <w:t>The deliverables for this study will be as follows:</w:t>
      </w:r>
    </w:p>
    <w:p w14:paraId="731A919E"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By the end of Phase 1, a short report with the ranking of mapped value chains, along with a brief, evidence-based justification of ranking and a summary of opportunities and constraints for each of them.</w:t>
      </w:r>
    </w:p>
    <w:p w14:paraId="5D51537B" w14:textId="77777777" w:rsidR="00901842" w:rsidRPr="00C41EFF" w:rsidRDefault="00901842" w:rsidP="00901842">
      <w:pPr>
        <w:pStyle w:val="ListParagraph"/>
        <w:widowControl w:val="0"/>
        <w:autoSpaceDE w:val="0"/>
        <w:autoSpaceDN w:val="0"/>
        <w:spacing w:after="120"/>
        <w:ind w:right="125" w:hanging="360"/>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For each of the detailed value chain analysis:</w:t>
      </w:r>
    </w:p>
    <w:p w14:paraId="13FC83E8" w14:textId="77777777" w:rsidR="00901842" w:rsidRPr="00C41EFF" w:rsidRDefault="00901842" w:rsidP="00901842">
      <w:pPr>
        <w:pStyle w:val="ListParagraph"/>
        <w:widowControl w:val="0"/>
        <w:numPr>
          <w:ilvl w:val="1"/>
          <w:numId w:val="2"/>
        </w:numPr>
        <w:autoSpaceDE w:val="0"/>
        <w:autoSpaceDN w:val="0"/>
        <w:spacing w:after="120"/>
        <w:ind w:right="125"/>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A value chain map showing the various stakeholders, sub-chains and respective production volumes, with flows and distribution of value added;</w:t>
      </w:r>
    </w:p>
    <w:p w14:paraId="595D162C" w14:textId="77777777" w:rsidR="00901842" w:rsidRPr="00C41EFF" w:rsidRDefault="00901842" w:rsidP="00901842">
      <w:pPr>
        <w:pStyle w:val="ListParagraph"/>
        <w:widowControl w:val="0"/>
        <w:numPr>
          <w:ilvl w:val="1"/>
          <w:numId w:val="2"/>
        </w:numPr>
        <w:autoSpaceDE w:val="0"/>
        <w:autoSpaceDN w:val="0"/>
        <w:spacing w:after="120"/>
        <w:ind w:right="125"/>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Geographical maps showing main production areas across the country and possible areas of extension;</w:t>
      </w:r>
    </w:p>
    <w:p w14:paraId="63288D58" w14:textId="77777777" w:rsidR="00901842" w:rsidRPr="00C41EFF" w:rsidRDefault="00901842" w:rsidP="00901842">
      <w:pPr>
        <w:pStyle w:val="ListParagraph"/>
        <w:widowControl w:val="0"/>
        <w:numPr>
          <w:ilvl w:val="1"/>
          <w:numId w:val="2"/>
        </w:numPr>
        <w:autoSpaceDE w:val="0"/>
        <w:autoSpaceDN w:val="0"/>
        <w:spacing w:after="240"/>
        <w:ind w:left="1434"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The value chain analysis addressing all the points in the terms of reference (maximum 25 pages without annexes).</w:t>
      </w:r>
    </w:p>
    <w:p w14:paraId="25C3505F" w14:textId="77777777" w:rsidR="00901842" w:rsidRPr="00C41EFF" w:rsidRDefault="00901842" w:rsidP="00901842">
      <w:pPr>
        <w:pStyle w:val="ListParagraph"/>
        <w:widowControl w:val="0"/>
        <w:numPr>
          <w:ilvl w:val="1"/>
          <w:numId w:val="2"/>
        </w:numPr>
        <w:autoSpaceDE w:val="0"/>
        <w:autoSpaceDN w:val="0"/>
        <w:spacing w:after="240"/>
        <w:ind w:left="1434"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A list of persons met and bibliography of sources consulted will be presented in an annex. All the documents consulted for the analysis will be made available on a shared drive.</w:t>
      </w:r>
    </w:p>
    <w:p w14:paraId="50EF1976" w14:textId="77777777" w:rsidR="00901842" w:rsidRPr="00C41EFF" w:rsidRDefault="00901842" w:rsidP="00901842">
      <w:pPr>
        <w:pStyle w:val="ListParagraph"/>
        <w:widowControl w:val="0"/>
        <w:numPr>
          <w:ilvl w:val="1"/>
          <w:numId w:val="2"/>
        </w:numPr>
        <w:autoSpaceDE w:val="0"/>
        <w:autoSpaceDN w:val="0"/>
        <w:spacing w:after="240"/>
        <w:ind w:left="1434" w:right="125" w:hanging="357"/>
        <w:contextualSpacing w:val="0"/>
        <w:jc w:val="both"/>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The amended Project Design Report for AGRI-M with the changes endorsed by the MAFI.</w:t>
      </w:r>
    </w:p>
    <w:p w14:paraId="7FB0B29C" w14:textId="77777777" w:rsidR="00901842" w:rsidRPr="00C41EFF" w:rsidRDefault="00901842" w:rsidP="00901842">
      <w:pPr>
        <w:spacing w:after="240"/>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Upon confirmation by the Ministry of Agriculture, translate into the Project Design Report of Agri-M the necessary technical and budget amendments in track-change mode, for IFAD’s review and validation.</w:t>
      </w:r>
    </w:p>
    <w:p w14:paraId="38C0F658" w14:textId="5FC73AB2" w:rsidR="00901842" w:rsidRPr="00C41EFF" w:rsidRDefault="00901842" w:rsidP="00901842">
      <w:pPr>
        <w:pStyle w:val="Heading1"/>
        <w:rPr>
          <w:rFonts w:ascii="Cambria" w:eastAsia="Times New Roman" w:hAnsi="Cambria" w:cs="Times New Roman"/>
          <w:b w:val="0"/>
          <w:bCs w:val="0"/>
          <w:szCs w:val="20"/>
        </w:rPr>
      </w:pPr>
      <w:r w:rsidRPr="00C41EFF">
        <w:rPr>
          <w:rFonts w:ascii="Cambria" w:eastAsia="Times New Roman" w:hAnsi="Cambria" w:cs="Times New Roman"/>
          <w:b w:val="0"/>
          <w:bCs w:val="0"/>
          <w:szCs w:val="20"/>
        </w:rPr>
        <w:t>Impleme</w:t>
      </w:r>
      <w:r w:rsidR="009D53D8" w:rsidRPr="00C41EFF">
        <w:rPr>
          <w:rFonts w:ascii="Cambria" w:eastAsia="Times New Roman" w:hAnsi="Cambria" w:cs="Times New Roman"/>
          <w:b w:val="0"/>
          <w:bCs w:val="0"/>
          <w:szCs w:val="20"/>
        </w:rPr>
        <w:t>.</w:t>
      </w:r>
      <w:r w:rsidRPr="00C41EFF">
        <w:rPr>
          <w:rFonts w:ascii="Cambria" w:eastAsia="Times New Roman" w:hAnsi="Cambria" w:cs="Times New Roman"/>
          <w:b w:val="0"/>
          <w:bCs w:val="0"/>
          <w:szCs w:val="20"/>
        </w:rPr>
        <w:t>ntation</w:t>
      </w:r>
    </w:p>
    <w:p w14:paraId="5DB7688E" w14:textId="77777777" w:rsidR="00901842" w:rsidRPr="00C41EFF" w:rsidRDefault="00901842" w:rsidP="00901842">
      <w:pPr>
        <w:pStyle w:val="BodyText"/>
        <w:spacing w:line="242" w:lineRule="auto"/>
        <w:ind w:left="446" w:right="115"/>
        <w:rPr>
          <w:rFonts w:ascii="Cambria" w:hAnsi="Cambria"/>
          <w:szCs w:val="20"/>
        </w:rPr>
      </w:pPr>
      <w:r w:rsidRPr="00C41EFF">
        <w:rPr>
          <w:rFonts w:ascii="Cambria" w:hAnsi="Cambria"/>
          <w:szCs w:val="20"/>
        </w:rPr>
        <w:t>The study will be outsourced to a consulting firm or consortium of consultants/researchers with demonstrated expertise in the agricultural/ agro-processing &amp; data management &amp; statistics analysis.</w:t>
      </w:r>
    </w:p>
    <w:p w14:paraId="60330093" w14:textId="14B34F42" w:rsidR="00901842" w:rsidRPr="00C41EFF" w:rsidRDefault="00901842" w:rsidP="00901842">
      <w:pPr>
        <w:pStyle w:val="BodyText"/>
        <w:rPr>
          <w:rFonts w:ascii="Cambria" w:hAnsi="Cambria"/>
          <w:szCs w:val="20"/>
        </w:rPr>
      </w:pPr>
      <w:r w:rsidRPr="00C41EFF">
        <w:rPr>
          <w:rFonts w:ascii="Cambria" w:hAnsi="Cambria"/>
          <w:szCs w:val="20"/>
        </w:rPr>
        <w:t>The duration of each value chain analysis will not exceed two (2) weeks. The final report will be made available at the latest by early September 2024</w:t>
      </w:r>
      <w:r w:rsidR="009D53D8" w:rsidRPr="00C41EFF">
        <w:rPr>
          <w:rFonts w:ascii="Cambria" w:hAnsi="Cambria"/>
          <w:szCs w:val="20"/>
        </w:rPr>
        <w:t>.</w:t>
      </w:r>
      <w:r w:rsidRPr="00C41EFF">
        <w:rPr>
          <w:rFonts w:ascii="Cambria" w:hAnsi="Cambria"/>
          <w:szCs w:val="20"/>
        </w:rPr>
        <w:t xml:space="preserve"> </w:t>
      </w:r>
    </w:p>
    <w:p w14:paraId="1FAA044F" w14:textId="77777777" w:rsidR="00901842" w:rsidRPr="00C41EFF" w:rsidRDefault="00901842" w:rsidP="00901842">
      <w:pPr>
        <w:pStyle w:val="Outline2"/>
        <w:tabs>
          <w:tab w:val="left" w:pos="-2880"/>
        </w:tabs>
        <w:ind w:left="142" w:firstLine="0"/>
        <w:rPr>
          <w:rFonts w:ascii="Cambria" w:hAnsi="Cambria"/>
          <w:sz w:val="20"/>
          <w:szCs w:val="20"/>
          <w:lang w:val="en-US" w:eastAsia="en-US"/>
        </w:rPr>
      </w:pPr>
      <w:r w:rsidRPr="00C41EFF">
        <w:rPr>
          <w:rFonts w:ascii="Cambria" w:hAnsi="Cambria"/>
          <w:sz w:val="20"/>
          <w:szCs w:val="20"/>
          <w:lang w:val="en-US" w:eastAsia="en-US"/>
        </w:rPr>
        <w:t>6.  Consultant’s qualifications and experience</w:t>
      </w:r>
    </w:p>
    <w:p w14:paraId="58741CAB"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bookmarkStart w:id="0" w:name="_Hlk78453701"/>
      <w:r w:rsidRPr="00C41EFF">
        <w:rPr>
          <w:rFonts w:ascii="Cambria" w:hAnsi="Cambria"/>
          <w:sz w:val="20"/>
          <w:szCs w:val="20"/>
          <w:lang w:val="en-US" w:eastAsia="en-US"/>
        </w:rPr>
        <w:lastRenderedPageBreak/>
        <w:t>Company’s experience and required qualification:</w:t>
      </w:r>
    </w:p>
    <w:p w14:paraId="797CC161"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r w:rsidRPr="00C41EFF">
        <w:rPr>
          <w:rFonts w:ascii="Cambria" w:hAnsi="Cambria"/>
          <w:sz w:val="20"/>
          <w:szCs w:val="20"/>
          <w:lang w:val="en-US" w:eastAsia="en-US"/>
        </w:rPr>
        <w:t>The Service Provider shall possess the following qualifications as a company:</w:t>
      </w:r>
    </w:p>
    <w:p w14:paraId="4213B0B5" w14:textId="241BDD49" w:rsidR="00901842" w:rsidRPr="00C41EFF" w:rsidRDefault="00901842" w:rsidP="00901842">
      <w:pPr>
        <w:pStyle w:val="Outline2"/>
        <w:widowControl w:val="0"/>
        <w:numPr>
          <w:ilvl w:val="0"/>
          <w:numId w:val="22"/>
        </w:numPr>
        <w:tabs>
          <w:tab w:val="left" w:pos="-2880"/>
          <w:tab w:val="left" w:pos="864"/>
        </w:tabs>
        <w:autoSpaceDE w:val="0"/>
        <w:autoSpaceDN w:val="0"/>
        <w:spacing w:before="0"/>
        <w:rPr>
          <w:rFonts w:ascii="Cambria" w:hAnsi="Cambria"/>
          <w:sz w:val="20"/>
          <w:szCs w:val="20"/>
          <w:lang w:val="en-US" w:eastAsia="en-US"/>
        </w:rPr>
      </w:pPr>
      <w:r w:rsidRPr="00C41EFF">
        <w:rPr>
          <w:rFonts w:ascii="Cambria" w:hAnsi="Cambria"/>
          <w:sz w:val="20"/>
          <w:szCs w:val="20"/>
          <w:lang w:val="en-US" w:eastAsia="en-US"/>
        </w:rPr>
        <w:t xml:space="preserve">Strong capacity and experience in conducting </w:t>
      </w:r>
      <w:r w:rsidR="00D968C8" w:rsidRPr="00C41EFF">
        <w:rPr>
          <w:rFonts w:ascii="Cambria" w:hAnsi="Cambria"/>
          <w:sz w:val="20"/>
          <w:szCs w:val="20"/>
          <w:lang w:val="en-US" w:eastAsia="en-US"/>
        </w:rPr>
        <w:t xml:space="preserve">analysis, </w:t>
      </w:r>
      <w:r w:rsidRPr="00C41EFF">
        <w:rPr>
          <w:rFonts w:ascii="Cambria" w:hAnsi="Cambria"/>
          <w:sz w:val="20"/>
          <w:szCs w:val="20"/>
          <w:lang w:val="en-US" w:eastAsia="en-US"/>
        </w:rPr>
        <w:t xml:space="preserve">surveys </w:t>
      </w:r>
      <w:r w:rsidR="00D968C8" w:rsidRPr="00C41EFF">
        <w:rPr>
          <w:rFonts w:ascii="Cambria" w:hAnsi="Cambria"/>
          <w:sz w:val="20"/>
          <w:szCs w:val="20"/>
          <w:lang w:val="en-US" w:eastAsia="en-US"/>
        </w:rPr>
        <w:t xml:space="preserve">ore research </w:t>
      </w:r>
      <w:r w:rsidRPr="00C41EFF">
        <w:rPr>
          <w:rFonts w:ascii="Cambria" w:hAnsi="Cambria"/>
          <w:sz w:val="20"/>
          <w:szCs w:val="20"/>
          <w:lang w:val="en-US" w:eastAsia="en-US"/>
        </w:rPr>
        <w:t>in the agricultural/ ago-processing and marketing &amp; agro-trade sectors in Moldova;</w:t>
      </w:r>
    </w:p>
    <w:p w14:paraId="086EDD02" w14:textId="77777777" w:rsidR="00901842" w:rsidRPr="00C41EFF" w:rsidRDefault="00901842" w:rsidP="00901842">
      <w:pPr>
        <w:pStyle w:val="Outline2"/>
        <w:widowControl w:val="0"/>
        <w:numPr>
          <w:ilvl w:val="0"/>
          <w:numId w:val="22"/>
        </w:numPr>
        <w:tabs>
          <w:tab w:val="left" w:pos="-2880"/>
          <w:tab w:val="left" w:pos="864"/>
        </w:tabs>
        <w:autoSpaceDE w:val="0"/>
        <w:autoSpaceDN w:val="0"/>
        <w:spacing w:before="0"/>
        <w:rPr>
          <w:rFonts w:ascii="Cambria" w:hAnsi="Cambria"/>
          <w:sz w:val="20"/>
          <w:szCs w:val="20"/>
          <w:lang w:val="en-US" w:eastAsia="en-US"/>
        </w:rPr>
      </w:pPr>
      <w:r w:rsidRPr="00C41EFF">
        <w:rPr>
          <w:rFonts w:ascii="Cambria" w:hAnsi="Cambria"/>
          <w:sz w:val="20"/>
          <w:szCs w:val="20"/>
          <w:lang w:val="en-US" w:eastAsia="en-US"/>
        </w:rPr>
        <w:t>Deep knowledge of the value chains in the Moldovan agricultural sector; their strong and weak points; problems &amp; challenges they face as well as opportunities;</w:t>
      </w:r>
    </w:p>
    <w:p w14:paraId="2021539F" w14:textId="77777777" w:rsidR="00901842" w:rsidRPr="00C41EFF" w:rsidRDefault="00901842" w:rsidP="00901842">
      <w:pPr>
        <w:pStyle w:val="Outline2"/>
        <w:widowControl w:val="0"/>
        <w:numPr>
          <w:ilvl w:val="0"/>
          <w:numId w:val="22"/>
        </w:numPr>
        <w:tabs>
          <w:tab w:val="left" w:pos="-2880"/>
          <w:tab w:val="left" w:pos="864"/>
        </w:tabs>
        <w:autoSpaceDE w:val="0"/>
        <w:autoSpaceDN w:val="0"/>
        <w:spacing w:before="0"/>
        <w:rPr>
          <w:rFonts w:ascii="Cambria" w:hAnsi="Cambria"/>
          <w:sz w:val="20"/>
          <w:szCs w:val="20"/>
          <w:lang w:val="en-US" w:eastAsia="en-US"/>
        </w:rPr>
      </w:pPr>
      <w:r w:rsidRPr="00C41EFF">
        <w:rPr>
          <w:rFonts w:ascii="Cambria" w:hAnsi="Cambria"/>
          <w:sz w:val="20"/>
          <w:szCs w:val="20"/>
          <w:lang w:val="en-US" w:eastAsia="en-US"/>
        </w:rPr>
        <w:t>Have at least 5 years in conducting quantitative and qualitative surveys (minimum 5 quantitative &amp; qualitative surveys conducted during the last 5 years);</w:t>
      </w:r>
    </w:p>
    <w:p w14:paraId="3991AF96" w14:textId="3C2A014C" w:rsidR="00901842" w:rsidRPr="00C41EFF" w:rsidRDefault="00901842" w:rsidP="00901842">
      <w:pPr>
        <w:pStyle w:val="Outline2"/>
        <w:widowControl w:val="0"/>
        <w:numPr>
          <w:ilvl w:val="0"/>
          <w:numId w:val="22"/>
        </w:numPr>
        <w:tabs>
          <w:tab w:val="left" w:pos="-2880"/>
          <w:tab w:val="left" w:pos="864"/>
        </w:tabs>
        <w:autoSpaceDE w:val="0"/>
        <w:autoSpaceDN w:val="0"/>
        <w:spacing w:before="0"/>
        <w:rPr>
          <w:rFonts w:ascii="Cambria" w:hAnsi="Cambria"/>
          <w:sz w:val="20"/>
          <w:szCs w:val="20"/>
          <w:lang w:val="en-US" w:eastAsia="en-US"/>
        </w:rPr>
      </w:pPr>
      <w:r w:rsidRPr="00C41EFF">
        <w:rPr>
          <w:rFonts w:ascii="Cambria" w:hAnsi="Cambria"/>
          <w:sz w:val="20"/>
          <w:szCs w:val="20"/>
          <w:lang w:val="en-US" w:eastAsia="en-US"/>
        </w:rPr>
        <w:t>Strong capacity in data management</w:t>
      </w:r>
      <w:r w:rsidR="00D968C8" w:rsidRPr="00C41EFF">
        <w:rPr>
          <w:rFonts w:ascii="Cambria" w:hAnsi="Cambria"/>
          <w:sz w:val="20"/>
          <w:szCs w:val="20"/>
          <w:lang w:val="en-US" w:eastAsia="en-US"/>
        </w:rPr>
        <w:t>,</w:t>
      </w:r>
      <w:r w:rsidRPr="00C41EFF">
        <w:rPr>
          <w:rFonts w:ascii="Cambria" w:hAnsi="Cambria"/>
          <w:sz w:val="20"/>
          <w:szCs w:val="20"/>
          <w:lang w:val="en-US" w:eastAsia="en-US"/>
        </w:rPr>
        <w:t xml:space="preserve"> survey analysis and reporting of results;</w:t>
      </w:r>
    </w:p>
    <w:bookmarkEnd w:id="0"/>
    <w:p w14:paraId="2509E982" w14:textId="77777777" w:rsidR="00901842" w:rsidRPr="00C41EFF" w:rsidRDefault="00901842" w:rsidP="00901842">
      <w:pPr>
        <w:pStyle w:val="Outline2"/>
        <w:tabs>
          <w:tab w:val="left" w:pos="-2880"/>
        </w:tabs>
        <w:ind w:left="0" w:firstLine="0"/>
        <w:rPr>
          <w:rFonts w:ascii="Cambria" w:hAnsi="Cambria"/>
          <w:sz w:val="20"/>
          <w:szCs w:val="20"/>
          <w:lang w:val="en-US" w:eastAsia="en-US"/>
        </w:rPr>
      </w:pPr>
      <w:r w:rsidRPr="00C41EFF">
        <w:rPr>
          <w:rFonts w:ascii="Cambria" w:hAnsi="Cambria"/>
          <w:sz w:val="20"/>
          <w:szCs w:val="20"/>
          <w:lang w:val="en-US" w:eastAsia="en-US"/>
        </w:rPr>
        <w:t>Key staff required</w:t>
      </w:r>
    </w:p>
    <w:p w14:paraId="084FD5CE" w14:textId="5710350B"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r w:rsidRPr="00C41EFF">
        <w:rPr>
          <w:rFonts w:ascii="Cambria" w:hAnsi="Cambria"/>
          <w:sz w:val="20"/>
          <w:szCs w:val="20"/>
          <w:lang w:val="en-US" w:eastAsia="en-US"/>
        </w:rPr>
        <w:t xml:space="preserve">The proposed team should consist of the mentioned below qualified and experienced professionals having proven track record in designing and implementing agro-economic studies, having sound understanding of rural </w:t>
      </w:r>
      <w:r w:rsidR="00D968C8" w:rsidRPr="00C41EFF">
        <w:rPr>
          <w:rFonts w:ascii="Cambria" w:hAnsi="Cambria"/>
          <w:sz w:val="20"/>
          <w:szCs w:val="20"/>
          <w:lang w:val="en-US" w:eastAsia="en-US"/>
        </w:rPr>
        <w:t>development, as</w:t>
      </w:r>
      <w:r w:rsidRPr="00C41EFF">
        <w:rPr>
          <w:rFonts w:ascii="Cambria" w:hAnsi="Cambria"/>
          <w:sz w:val="20"/>
          <w:szCs w:val="20"/>
          <w:lang w:val="en-US" w:eastAsia="en-US"/>
        </w:rPr>
        <w:t xml:space="preserve"> well as gender and social inclusion of the most vulnerable </w:t>
      </w:r>
      <w:r w:rsidR="00D968C8" w:rsidRPr="00C41EFF">
        <w:rPr>
          <w:rFonts w:ascii="Cambria" w:hAnsi="Cambria"/>
          <w:sz w:val="20"/>
          <w:szCs w:val="20"/>
          <w:lang w:val="en-US" w:eastAsia="en-US"/>
        </w:rPr>
        <w:t>population.</w:t>
      </w:r>
    </w:p>
    <w:p w14:paraId="79C9EE70"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bookmarkStart w:id="1" w:name="_Hlk78453765"/>
      <w:r w:rsidRPr="00C41EFF">
        <w:rPr>
          <w:rFonts w:ascii="Cambria" w:hAnsi="Cambria"/>
          <w:sz w:val="20"/>
          <w:szCs w:val="20"/>
          <w:lang w:val="en-US" w:eastAsia="en-US"/>
        </w:rPr>
        <w:t>Key professional staff positions (recommended):</w:t>
      </w:r>
    </w:p>
    <w:p w14:paraId="52CD3E24"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bookmarkStart w:id="2" w:name="_Hlk78453789"/>
      <w:bookmarkEnd w:id="1"/>
      <w:r w:rsidRPr="00C41EFF">
        <w:rPr>
          <w:rFonts w:ascii="Cambria" w:hAnsi="Cambria"/>
          <w:sz w:val="20"/>
          <w:szCs w:val="20"/>
          <w:lang w:val="en-US" w:eastAsia="en-US"/>
        </w:rPr>
        <w:t>Team Leader</w:t>
      </w:r>
      <w:bookmarkEnd w:id="2"/>
      <w:r w:rsidRPr="00C41EFF">
        <w:rPr>
          <w:rFonts w:ascii="Cambria" w:hAnsi="Cambria"/>
          <w:sz w:val="20"/>
          <w:szCs w:val="20"/>
          <w:lang w:val="en-US" w:eastAsia="en-US"/>
        </w:rPr>
        <w:t xml:space="preserve"> (coordinate teams and ensure timely reporting is required): advance degree in economics, statistics, agricultural economics or related field. At least five years of relevant experience in conducting large agricultural surveys. Experience in agricultural data collection and analysis required. at least 5 years as team leader.</w:t>
      </w:r>
    </w:p>
    <w:p w14:paraId="26D5C3DF"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bookmarkStart w:id="3" w:name="_Hlk78453799"/>
      <w:r w:rsidRPr="00C41EFF">
        <w:rPr>
          <w:rFonts w:ascii="Cambria" w:hAnsi="Cambria"/>
          <w:sz w:val="20"/>
          <w:szCs w:val="20"/>
          <w:lang w:val="en-US" w:eastAsia="en-US"/>
        </w:rPr>
        <w:t>Expert in data analysis and quantitative survey implementation</w:t>
      </w:r>
      <w:bookmarkEnd w:id="3"/>
      <w:r w:rsidRPr="00C41EFF">
        <w:rPr>
          <w:rFonts w:ascii="Cambria" w:hAnsi="Cambria"/>
          <w:sz w:val="20"/>
          <w:szCs w:val="20"/>
          <w:lang w:val="en-US" w:eastAsia="en-US"/>
        </w:rPr>
        <w:t>: Minimum five years of managing logistics of large quantitative surveys. Experience in analyzing survey data, in data entry, data clearance and processing. Strong knowledge in statistics. Experience in implementing agricultural surveys in Moldova.</w:t>
      </w:r>
    </w:p>
    <w:p w14:paraId="71C7FEDA" w14:textId="768707FE"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bookmarkStart w:id="4" w:name="_Hlk78453828"/>
      <w:r w:rsidRPr="00C41EFF">
        <w:rPr>
          <w:rFonts w:ascii="Cambria" w:hAnsi="Cambria"/>
          <w:sz w:val="20"/>
          <w:szCs w:val="20"/>
          <w:lang w:val="en-US" w:eastAsia="en-US"/>
        </w:rPr>
        <w:t>Expert in agriculture</w:t>
      </w:r>
      <w:bookmarkEnd w:id="4"/>
      <w:r w:rsidRPr="00C41EFF">
        <w:rPr>
          <w:rFonts w:ascii="Cambria" w:hAnsi="Cambria"/>
          <w:sz w:val="20"/>
          <w:szCs w:val="20"/>
          <w:lang w:val="en-US" w:eastAsia="en-US"/>
        </w:rPr>
        <w:t xml:space="preserve">: Good knowledge of agriculture and agricultural economy in Moldova, its sub-sectors and value chains. Preferable experience in creation and/or support to agricultural coops, producer groups and other association forms in </w:t>
      </w:r>
      <w:r w:rsidR="00D968C8" w:rsidRPr="00C41EFF">
        <w:rPr>
          <w:rFonts w:ascii="Cambria" w:hAnsi="Cambria"/>
          <w:sz w:val="20"/>
          <w:szCs w:val="20"/>
          <w:lang w:val="en-US" w:eastAsia="en-US"/>
        </w:rPr>
        <w:t>agriculture.</w:t>
      </w:r>
      <w:r w:rsidRPr="00C41EFF">
        <w:rPr>
          <w:rFonts w:ascii="Cambria" w:hAnsi="Cambria"/>
          <w:sz w:val="20"/>
          <w:szCs w:val="20"/>
          <w:lang w:val="en-US" w:eastAsia="en-US"/>
        </w:rPr>
        <w:t xml:space="preserve"> Experience in conducting qualitative studies in agricultural sector.</w:t>
      </w:r>
    </w:p>
    <w:p w14:paraId="2088DDEB" w14:textId="77777777" w:rsidR="00901842" w:rsidRPr="00C41EFF" w:rsidRDefault="00901842" w:rsidP="00901842">
      <w:pPr>
        <w:pStyle w:val="Outline2"/>
        <w:tabs>
          <w:tab w:val="left" w:pos="-2880"/>
        </w:tabs>
        <w:spacing w:before="120" w:after="240"/>
        <w:ind w:left="0" w:firstLine="0"/>
        <w:rPr>
          <w:rFonts w:ascii="Cambria" w:hAnsi="Cambria"/>
          <w:sz w:val="20"/>
          <w:szCs w:val="20"/>
          <w:lang w:val="en-US" w:eastAsia="en-US"/>
        </w:rPr>
      </w:pPr>
      <w:bookmarkStart w:id="5" w:name="_Hlk78453837"/>
      <w:r w:rsidRPr="00C41EFF">
        <w:rPr>
          <w:rFonts w:ascii="Cambria" w:hAnsi="Cambria"/>
          <w:sz w:val="20"/>
          <w:szCs w:val="20"/>
          <w:lang w:val="en-US" w:eastAsia="en-US"/>
        </w:rPr>
        <w:t>Expert in agricultural finance</w:t>
      </w:r>
      <w:bookmarkEnd w:id="5"/>
      <w:r w:rsidRPr="00C41EFF">
        <w:rPr>
          <w:rFonts w:ascii="Cambria" w:hAnsi="Cambria"/>
          <w:sz w:val="20"/>
          <w:szCs w:val="20"/>
          <w:lang w:val="en-US" w:eastAsia="en-US"/>
        </w:rPr>
        <w:t>: Minimum five year of experience in finance/ banking sector dealing with loans for agriculture. Good knowledge of the Moldova’s banking and financial organizations sector.</w:t>
      </w:r>
    </w:p>
    <w:p w14:paraId="3DB6496D"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r w:rsidRPr="00C41EFF">
        <w:rPr>
          <w:rFonts w:ascii="Cambria" w:hAnsi="Cambria"/>
          <w:sz w:val="20"/>
          <w:szCs w:val="20"/>
          <w:lang w:val="en-US" w:eastAsia="en-US"/>
        </w:rPr>
        <w:t>Any other additional experts who will take part in other necessary tasks will be described at the technical offer stage.</w:t>
      </w:r>
    </w:p>
    <w:p w14:paraId="152BB843"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p>
    <w:p w14:paraId="494897C3" w14:textId="77777777" w:rsidR="00901842" w:rsidRPr="00C41EFF" w:rsidRDefault="00901842" w:rsidP="00901842">
      <w:pPr>
        <w:pStyle w:val="Outline2"/>
        <w:tabs>
          <w:tab w:val="left" w:pos="-2880"/>
        </w:tabs>
        <w:spacing w:after="120"/>
        <w:ind w:left="284" w:firstLine="0"/>
        <w:rPr>
          <w:rFonts w:ascii="Cambria" w:hAnsi="Cambria"/>
          <w:sz w:val="20"/>
          <w:szCs w:val="20"/>
          <w:lang w:val="en-US" w:eastAsia="en-US"/>
        </w:rPr>
      </w:pPr>
      <w:r w:rsidRPr="00C41EFF">
        <w:rPr>
          <w:rFonts w:ascii="Cambria" w:hAnsi="Cambria"/>
          <w:sz w:val="20"/>
          <w:szCs w:val="20"/>
          <w:lang w:val="en-US" w:eastAsia="en-US"/>
        </w:rPr>
        <w:t>7. Location and period of execution</w:t>
      </w:r>
    </w:p>
    <w:p w14:paraId="00F3013D"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r w:rsidRPr="00C41EFF">
        <w:rPr>
          <w:rFonts w:ascii="Cambria" w:hAnsi="Cambria"/>
          <w:sz w:val="20"/>
          <w:szCs w:val="20"/>
          <w:lang w:val="en-US" w:eastAsia="en-US"/>
        </w:rPr>
        <w:t xml:space="preserve"> The VCA shall be conducted based on the  desk review but not limited to the existing  documentation  recommended  by the  CPIU IFAD in Annex 1, discussions with officials from the line ministries, such as MAFI, MoF, MoEnv., State Chancellary, Government agencies, sectorial professional associations and other relevant stake holders.</w:t>
      </w:r>
    </w:p>
    <w:p w14:paraId="05833C22"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r w:rsidRPr="00C41EFF">
        <w:rPr>
          <w:rFonts w:ascii="Cambria" w:hAnsi="Cambria"/>
          <w:sz w:val="20"/>
          <w:szCs w:val="20"/>
          <w:lang w:val="en-US" w:eastAsia="en-US"/>
        </w:rPr>
        <w:t>The period of execution is approx. 2 months and is stipulated in the Chapter 8 (Reports and schedule of deliverables) of this ToR.</w:t>
      </w:r>
    </w:p>
    <w:p w14:paraId="16A695F5" w14:textId="77777777" w:rsidR="00901842" w:rsidRPr="00C41EFF" w:rsidRDefault="00901842" w:rsidP="00901842">
      <w:pPr>
        <w:pStyle w:val="Outline2"/>
        <w:tabs>
          <w:tab w:val="left" w:pos="-2880"/>
        </w:tabs>
        <w:spacing w:before="480" w:after="120"/>
        <w:ind w:left="567" w:hanging="283"/>
        <w:rPr>
          <w:rFonts w:ascii="Cambria" w:hAnsi="Cambria"/>
          <w:sz w:val="20"/>
          <w:szCs w:val="20"/>
          <w:lang w:val="en-US" w:eastAsia="en-US"/>
        </w:rPr>
      </w:pPr>
      <w:r w:rsidRPr="00C41EFF">
        <w:rPr>
          <w:rFonts w:ascii="Cambria" w:hAnsi="Cambria"/>
          <w:sz w:val="20"/>
          <w:szCs w:val="20"/>
          <w:lang w:val="en-US" w:eastAsia="en-US"/>
        </w:rPr>
        <w:t>8.  Project coordination</w:t>
      </w:r>
    </w:p>
    <w:p w14:paraId="0FD3A06C"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r w:rsidRPr="00C41EFF">
        <w:rPr>
          <w:rFonts w:ascii="Cambria" w:hAnsi="Cambria"/>
          <w:sz w:val="20"/>
          <w:szCs w:val="20"/>
          <w:lang w:val="en-US" w:eastAsia="en-US"/>
        </w:rPr>
        <w:t>The selected Service provider will coordinate the project execution and the deliverables with the designated MAFI  and CPIU IFAD representatives.</w:t>
      </w:r>
    </w:p>
    <w:p w14:paraId="44BDFD39" w14:textId="77777777" w:rsidR="00901842" w:rsidRPr="00C41EFF" w:rsidRDefault="00901842" w:rsidP="00901842">
      <w:pPr>
        <w:pStyle w:val="Outline2"/>
        <w:tabs>
          <w:tab w:val="left" w:pos="-2880"/>
        </w:tabs>
        <w:spacing w:before="360" w:after="120"/>
        <w:ind w:left="284" w:firstLine="0"/>
        <w:rPr>
          <w:rFonts w:ascii="Cambria" w:hAnsi="Cambria"/>
          <w:sz w:val="20"/>
          <w:szCs w:val="20"/>
          <w:lang w:val="en-US" w:eastAsia="en-US"/>
        </w:rPr>
      </w:pPr>
      <w:r w:rsidRPr="00C41EFF">
        <w:rPr>
          <w:rFonts w:ascii="Cambria" w:hAnsi="Cambria"/>
          <w:sz w:val="20"/>
          <w:szCs w:val="20"/>
          <w:lang w:val="en-US" w:eastAsia="en-US"/>
        </w:rPr>
        <w:t>9. Services and facilities to be provided by client</w:t>
      </w:r>
    </w:p>
    <w:p w14:paraId="47A84343" w14:textId="74697156"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r w:rsidRPr="00C41EFF">
        <w:rPr>
          <w:rFonts w:ascii="Cambria" w:hAnsi="Cambria"/>
          <w:sz w:val="20"/>
          <w:szCs w:val="20"/>
          <w:lang w:val="en-US" w:eastAsia="en-US"/>
        </w:rPr>
        <w:t xml:space="preserve">The Service Provider will perform the VCA in close collaboration </w:t>
      </w:r>
      <w:r w:rsidR="00D968C8" w:rsidRPr="00C41EFF">
        <w:rPr>
          <w:rFonts w:ascii="Cambria" w:hAnsi="Cambria"/>
          <w:sz w:val="20"/>
          <w:szCs w:val="20"/>
          <w:lang w:val="en-US" w:eastAsia="en-US"/>
        </w:rPr>
        <w:t>with MAFI</w:t>
      </w:r>
      <w:r w:rsidRPr="00C41EFF">
        <w:rPr>
          <w:rFonts w:ascii="Cambria" w:hAnsi="Cambria"/>
          <w:sz w:val="20"/>
          <w:szCs w:val="20"/>
          <w:lang w:val="en-US" w:eastAsia="en-US"/>
        </w:rPr>
        <w:t xml:space="preserve"> representative, the CPIU IFAD specialists responsible for the contract.</w:t>
      </w:r>
    </w:p>
    <w:p w14:paraId="1D293F4D" w14:textId="0F6E8116"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r w:rsidRPr="00C41EFF">
        <w:rPr>
          <w:rFonts w:ascii="Cambria" w:hAnsi="Cambria"/>
          <w:sz w:val="20"/>
          <w:szCs w:val="20"/>
          <w:lang w:val="en-US" w:eastAsia="en-US"/>
        </w:rPr>
        <w:t xml:space="preserve">The </w:t>
      </w:r>
      <w:r w:rsidR="00D968C8" w:rsidRPr="00C41EFF">
        <w:rPr>
          <w:rFonts w:ascii="Cambria" w:hAnsi="Cambria"/>
          <w:sz w:val="20"/>
          <w:szCs w:val="20"/>
          <w:lang w:val="en-US" w:eastAsia="en-US"/>
        </w:rPr>
        <w:t>MAFI will</w:t>
      </w:r>
      <w:r w:rsidRPr="00C41EFF">
        <w:rPr>
          <w:rFonts w:ascii="Cambria" w:hAnsi="Cambria"/>
          <w:sz w:val="20"/>
          <w:szCs w:val="20"/>
          <w:lang w:val="en-US" w:eastAsia="en-US"/>
        </w:rPr>
        <w:t xml:space="preserve"> review and approve the intermediary and final </w:t>
      </w:r>
      <w:r w:rsidR="00D968C8" w:rsidRPr="00C41EFF">
        <w:rPr>
          <w:rFonts w:ascii="Cambria" w:hAnsi="Cambria"/>
          <w:sz w:val="20"/>
          <w:szCs w:val="20"/>
          <w:lang w:val="en-US" w:eastAsia="en-US"/>
        </w:rPr>
        <w:t>deliverables, as</w:t>
      </w:r>
      <w:r w:rsidRPr="00C41EFF">
        <w:rPr>
          <w:rFonts w:ascii="Cambria" w:hAnsi="Cambria"/>
          <w:sz w:val="20"/>
          <w:szCs w:val="20"/>
          <w:lang w:val="en-US" w:eastAsia="en-US"/>
        </w:rPr>
        <w:t xml:space="preserve"> </w:t>
      </w:r>
      <w:r w:rsidR="00D968C8" w:rsidRPr="00C41EFF">
        <w:rPr>
          <w:rFonts w:ascii="Cambria" w:hAnsi="Cambria"/>
          <w:sz w:val="20"/>
          <w:szCs w:val="20"/>
          <w:lang w:val="en-US" w:eastAsia="en-US"/>
        </w:rPr>
        <w:t>per described</w:t>
      </w:r>
      <w:r w:rsidRPr="00C41EFF">
        <w:rPr>
          <w:rFonts w:ascii="Cambria" w:hAnsi="Cambria"/>
          <w:sz w:val="20"/>
          <w:szCs w:val="20"/>
          <w:lang w:val="en-US" w:eastAsia="en-US"/>
        </w:rPr>
        <w:t xml:space="preserve"> in para. 4 thereof.</w:t>
      </w:r>
    </w:p>
    <w:p w14:paraId="526E3E45" w14:textId="77777777" w:rsidR="00901842" w:rsidRPr="00C41EFF" w:rsidRDefault="00901842" w:rsidP="00901842">
      <w:pPr>
        <w:pStyle w:val="Outline2"/>
        <w:tabs>
          <w:tab w:val="left" w:pos="-2880"/>
        </w:tabs>
        <w:spacing w:before="120"/>
        <w:ind w:left="0" w:firstLine="0"/>
        <w:rPr>
          <w:rFonts w:ascii="Cambria" w:hAnsi="Cambria"/>
          <w:sz w:val="20"/>
          <w:szCs w:val="20"/>
          <w:lang w:val="en-US" w:eastAsia="en-US"/>
        </w:rPr>
      </w:pPr>
      <w:r w:rsidRPr="00C41EFF">
        <w:rPr>
          <w:rFonts w:ascii="Cambria" w:hAnsi="Cambria"/>
          <w:sz w:val="20"/>
          <w:szCs w:val="20"/>
          <w:lang w:val="en-US" w:eastAsia="en-US"/>
        </w:rPr>
        <w:lastRenderedPageBreak/>
        <w:t>If required by the Service Provider, the Client will provide to the SP a support letter confirming that the VCA performed by the SP is done at request of the Client.</w:t>
      </w:r>
    </w:p>
    <w:p w14:paraId="6A57B9FA" w14:textId="77777777" w:rsidR="00901842" w:rsidRPr="00C41EFF" w:rsidRDefault="00901842" w:rsidP="00901842">
      <w:pPr>
        <w:pStyle w:val="Outline2"/>
        <w:tabs>
          <w:tab w:val="left" w:pos="-2880"/>
        </w:tabs>
        <w:spacing w:before="360" w:after="120"/>
        <w:ind w:left="284" w:firstLine="0"/>
        <w:rPr>
          <w:rFonts w:ascii="Cambria" w:hAnsi="Cambria"/>
          <w:sz w:val="20"/>
          <w:szCs w:val="20"/>
          <w:lang w:val="en-US" w:eastAsia="en-US"/>
        </w:rPr>
      </w:pPr>
      <w:r w:rsidRPr="00C41EFF">
        <w:rPr>
          <w:rFonts w:ascii="Cambria" w:hAnsi="Cambria"/>
          <w:sz w:val="20"/>
          <w:szCs w:val="20"/>
          <w:lang w:val="en-US" w:eastAsia="en-US"/>
        </w:rPr>
        <w:t>10. Services and facilities to be provided by the consultant</w:t>
      </w:r>
    </w:p>
    <w:p w14:paraId="42868EA7" w14:textId="77777777" w:rsidR="00901842" w:rsidRPr="00C41EFF" w:rsidRDefault="00901842" w:rsidP="00901842">
      <w:pPr>
        <w:rPr>
          <w:rFonts w:ascii="Cambria" w:eastAsia="Times New Roman" w:hAnsi="Cambria" w:cs="Times New Roman"/>
          <w:sz w:val="20"/>
          <w:szCs w:val="20"/>
          <w:lang w:val="en-US"/>
        </w:rPr>
      </w:pPr>
      <w:r w:rsidRPr="00C41EFF">
        <w:rPr>
          <w:rFonts w:ascii="Cambria" w:eastAsia="Times New Roman" w:hAnsi="Cambria" w:cs="Times New Roman"/>
          <w:sz w:val="20"/>
          <w:szCs w:val="20"/>
          <w:lang w:val="en-US"/>
        </w:rPr>
        <w:t>The Service Provider is responsible in ensuring all the facilities (office space, equipment, staff, transportation, software, stationary etc.) necessary to execute the VCA at the due level of quality and in the agreed timeframe.</w:t>
      </w:r>
    </w:p>
    <w:p w14:paraId="3F1B668C" w14:textId="77777777" w:rsidR="00901842" w:rsidRPr="00FD4244" w:rsidRDefault="00901842" w:rsidP="00901842">
      <w:pPr>
        <w:rPr>
          <w:rFonts w:asciiTheme="majorHAnsi" w:hAnsiTheme="majorHAnsi"/>
          <w:kern w:val="28"/>
          <w:lang w:val="en-US" w:eastAsia="ro-RO"/>
        </w:rPr>
      </w:pPr>
    </w:p>
    <w:p w14:paraId="60CA9AF2" w14:textId="77777777" w:rsidR="00D4059A" w:rsidRPr="00FD4244" w:rsidRDefault="00D4059A" w:rsidP="00901842">
      <w:pPr>
        <w:rPr>
          <w:rFonts w:asciiTheme="majorHAnsi" w:hAnsiTheme="majorHAnsi"/>
          <w:kern w:val="28"/>
          <w:lang w:val="en-US" w:eastAsia="ro-RO"/>
        </w:rPr>
      </w:pPr>
    </w:p>
    <w:p w14:paraId="3F257002" w14:textId="77777777" w:rsidR="00D4059A" w:rsidRPr="00FD4244" w:rsidRDefault="00D4059A" w:rsidP="00901842">
      <w:pPr>
        <w:rPr>
          <w:rFonts w:asciiTheme="majorHAnsi" w:hAnsiTheme="majorHAnsi"/>
          <w:kern w:val="28"/>
          <w:lang w:val="en-US" w:eastAsia="ro-RO"/>
        </w:rPr>
      </w:pPr>
    </w:p>
    <w:p w14:paraId="2C9C3396" w14:textId="77777777" w:rsidR="00D4059A" w:rsidRPr="00FD4244" w:rsidRDefault="00D4059A" w:rsidP="00901842">
      <w:pPr>
        <w:rPr>
          <w:rFonts w:asciiTheme="majorHAnsi" w:hAnsiTheme="majorHAnsi"/>
          <w:kern w:val="28"/>
          <w:lang w:val="en-US" w:eastAsia="ro-RO"/>
        </w:rPr>
      </w:pPr>
    </w:p>
    <w:p w14:paraId="1B2AD81F" w14:textId="77777777" w:rsidR="00D4059A" w:rsidRPr="00FD4244" w:rsidRDefault="00D4059A" w:rsidP="00901842">
      <w:pPr>
        <w:rPr>
          <w:rFonts w:asciiTheme="majorHAnsi" w:hAnsiTheme="majorHAnsi"/>
          <w:kern w:val="28"/>
          <w:lang w:val="en-US" w:eastAsia="ro-RO"/>
        </w:rPr>
      </w:pPr>
    </w:p>
    <w:p w14:paraId="245F14C7" w14:textId="77777777" w:rsidR="00D4059A" w:rsidRPr="00FD4244" w:rsidRDefault="00D4059A" w:rsidP="00901842">
      <w:pPr>
        <w:rPr>
          <w:rFonts w:asciiTheme="majorHAnsi" w:hAnsiTheme="majorHAnsi"/>
          <w:kern w:val="28"/>
          <w:lang w:val="en-US" w:eastAsia="ro-RO"/>
        </w:rPr>
      </w:pPr>
    </w:p>
    <w:p w14:paraId="7A3D68C3" w14:textId="77777777" w:rsidR="00D4059A" w:rsidRPr="00FD4244" w:rsidRDefault="00D4059A" w:rsidP="00901842">
      <w:pPr>
        <w:rPr>
          <w:rFonts w:asciiTheme="majorHAnsi" w:hAnsiTheme="majorHAnsi"/>
          <w:kern w:val="28"/>
          <w:lang w:val="en-US" w:eastAsia="ro-RO"/>
        </w:rPr>
      </w:pPr>
    </w:p>
    <w:p w14:paraId="4A2CE239" w14:textId="77777777" w:rsidR="00D4059A" w:rsidRDefault="00D4059A" w:rsidP="00901842">
      <w:pPr>
        <w:rPr>
          <w:rFonts w:asciiTheme="majorHAnsi" w:hAnsiTheme="majorHAnsi"/>
          <w:kern w:val="28"/>
          <w:lang w:val="en-US" w:eastAsia="ro-RO"/>
        </w:rPr>
      </w:pPr>
    </w:p>
    <w:p w14:paraId="2B8B24CF" w14:textId="77777777" w:rsidR="00C41EFF" w:rsidRDefault="00C41EFF" w:rsidP="00901842">
      <w:pPr>
        <w:rPr>
          <w:rFonts w:asciiTheme="majorHAnsi" w:hAnsiTheme="majorHAnsi"/>
          <w:kern w:val="28"/>
          <w:lang w:val="en-US" w:eastAsia="ro-RO"/>
        </w:rPr>
      </w:pPr>
    </w:p>
    <w:p w14:paraId="42BABA81" w14:textId="77777777" w:rsidR="00C41EFF" w:rsidRDefault="00C41EFF" w:rsidP="00901842">
      <w:pPr>
        <w:rPr>
          <w:rFonts w:asciiTheme="majorHAnsi" w:hAnsiTheme="majorHAnsi"/>
          <w:kern w:val="28"/>
          <w:lang w:val="en-US" w:eastAsia="ro-RO"/>
        </w:rPr>
      </w:pPr>
    </w:p>
    <w:p w14:paraId="41897759" w14:textId="77777777" w:rsidR="00C41EFF" w:rsidRDefault="00C41EFF" w:rsidP="00901842">
      <w:pPr>
        <w:rPr>
          <w:rFonts w:asciiTheme="majorHAnsi" w:hAnsiTheme="majorHAnsi"/>
          <w:kern w:val="28"/>
          <w:lang w:val="en-US" w:eastAsia="ro-RO"/>
        </w:rPr>
      </w:pPr>
    </w:p>
    <w:p w14:paraId="129CDBDB" w14:textId="77777777" w:rsidR="00C41EFF" w:rsidRDefault="00C41EFF" w:rsidP="00901842">
      <w:pPr>
        <w:rPr>
          <w:rFonts w:asciiTheme="majorHAnsi" w:hAnsiTheme="majorHAnsi"/>
          <w:kern w:val="28"/>
          <w:lang w:val="en-US" w:eastAsia="ro-RO"/>
        </w:rPr>
      </w:pPr>
    </w:p>
    <w:p w14:paraId="0E34B789" w14:textId="77777777" w:rsidR="00C41EFF" w:rsidRDefault="00C41EFF" w:rsidP="00901842">
      <w:pPr>
        <w:rPr>
          <w:rFonts w:asciiTheme="majorHAnsi" w:hAnsiTheme="majorHAnsi"/>
          <w:kern w:val="28"/>
          <w:lang w:val="en-US" w:eastAsia="ro-RO"/>
        </w:rPr>
      </w:pPr>
    </w:p>
    <w:p w14:paraId="038B5C7B" w14:textId="77777777" w:rsidR="00C41EFF" w:rsidRDefault="00C41EFF" w:rsidP="00901842">
      <w:pPr>
        <w:rPr>
          <w:rFonts w:asciiTheme="majorHAnsi" w:hAnsiTheme="majorHAnsi"/>
          <w:kern w:val="28"/>
          <w:lang w:val="en-US" w:eastAsia="ro-RO"/>
        </w:rPr>
      </w:pPr>
    </w:p>
    <w:p w14:paraId="63DF6B67" w14:textId="77777777" w:rsidR="00C41EFF" w:rsidRDefault="00C41EFF" w:rsidP="00901842">
      <w:pPr>
        <w:rPr>
          <w:rFonts w:asciiTheme="majorHAnsi" w:hAnsiTheme="majorHAnsi"/>
          <w:kern w:val="28"/>
          <w:lang w:val="en-US" w:eastAsia="ro-RO"/>
        </w:rPr>
      </w:pPr>
    </w:p>
    <w:p w14:paraId="58BCDC3A" w14:textId="77777777" w:rsidR="00C41EFF" w:rsidRDefault="00C41EFF" w:rsidP="00901842">
      <w:pPr>
        <w:rPr>
          <w:rFonts w:asciiTheme="majorHAnsi" w:hAnsiTheme="majorHAnsi"/>
          <w:kern w:val="28"/>
          <w:lang w:val="en-US" w:eastAsia="ro-RO"/>
        </w:rPr>
      </w:pPr>
    </w:p>
    <w:p w14:paraId="6217071E" w14:textId="77777777" w:rsidR="00C41EFF" w:rsidRDefault="00C41EFF" w:rsidP="00901842">
      <w:pPr>
        <w:rPr>
          <w:rFonts w:asciiTheme="majorHAnsi" w:hAnsiTheme="majorHAnsi"/>
          <w:kern w:val="28"/>
          <w:lang w:val="en-US" w:eastAsia="ro-RO"/>
        </w:rPr>
      </w:pPr>
    </w:p>
    <w:p w14:paraId="445A9214" w14:textId="77777777" w:rsidR="00C41EFF" w:rsidRDefault="00C41EFF" w:rsidP="00901842">
      <w:pPr>
        <w:rPr>
          <w:rFonts w:asciiTheme="majorHAnsi" w:hAnsiTheme="majorHAnsi"/>
          <w:kern w:val="28"/>
          <w:lang w:val="en-US" w:eastAsia="ro-RO"/>
        </w:rPr>
      </w:pPr>
    </w:p>
    <w:p w14:paraId="3F5446F9" w14:textId="77777777" w:rsidR="00C41EFF" w:rsidRDefault="00C41EFF" w:rsidP="00901842">
      <w:pPr>
        <w:rPr>
          <w:rFonts w:asciiTheme="majorHAnsi" w:hAnsiTheme="majorHAnsi"/>
          <w:kern w:val="28"/>
          <w:lang w:val="en-US" w:eastAsia="ro-RO"/>
        </w:rPr>
      </w:pPr>
    </w:p>
    <w:p w14:paraId="1B68F622" w14:textId="77777777" w:rsidR="00C41EFF" w:rsidRDefault="00C41EFF" w:rsidP="00901842">
      <w:pPr>
        <w:rPr>
          <w:rFonts w:asciiTheme="majorHAnsi" w:hAnsiTheme="majorHAnsi"/>
          <w:kern w:val="28"/>
          <w:lang w:val="en-US" w:eastAsia="ro-RO"/>
        </w:rPr>
      </w:pPr>
    </w:p>
    <w:p w14:paraId="262AA962" w14:textId="77777777" w:rsidR="00C41EFF" w:rsidRDefault="00C41EFF" w:rsidP="00901842">
      <w:pPr>
        <w:rPr>
          <w:rFonts w:asciiTheme="majorHAnsi" w:hAnsiTheme="majorHAnsi"/>
          <w:kern w:val="28"/>
          <w:lang w:val="en-US" w:eastAsia="ro-RO"/>
        </w:rPr>
      </w:pPr>
    </w:p>
    <w:p w14:paraId="13208B9F" w14:textId="77777777" w:rsidR="00C41EFF" w:rsidRDefault="00C41EFF" w:rsidP="00901842">
      <w:pPr>
        <w:rPr>
          <w:rFonts w:asciiTheme="majorHAnsi" w:hAnsiTheme="majorHAnsi"/>
          <w:kern w:val="28"/>
          <w:lang w:val="en-US" w:eastAsia="ro-RO"/>
        </w:rPr>
      </w:pPr>
    </w:p>
    <w:p w14:paraId="232108E1" w14:textId="77777777" w:rsidR="00C41EFF" w:rsidRPr="00FD4244" w:rsidRDefault="00C41EFF" w:rsidP="00901842">
      <w:pPr>
        <w:rPr>
          <w:rFonts w:asciiTheme="majorHAnsi" w:hAnsiTheme="majorHAnsi"/>
          <w:kern w:val="28"/>
          <w:lang w:val="en-US" w:eastAsia="ro-RO"/>
        </w:rPr>
      </w:pPr>
    </w:p>
    <w:p w14:paraId="1939E673" w14:textId="77777777" w:rsidR="00901842" w:rsidRPr="00FD4244" w:rsidRDefault="00901842" w:rsidP="00901842">
      <w:pPr>
        <w:ind w:left="270" w:firstLine="90"/>
        <w:rPr>
          <w:rFonts w:asciiTheme="majorHAnsi" w:hAnsiTheme="majorHAnsi"/>
          <w:b/>
          <w:bCs/>
          <w:kern w:val="28"/>
          <w:lang w:val="en-US" w:eastAsia="ro-RO"/>
        </w:rPr>
      </w:pPr>
      <w:r w:rsidRPr="00FD4244">
        <w:rPr>
          <w:rFonts w:asciiTheme="majorHAnsi" w:hAnsiTheme="majorHAnsi"/>
          <w:b/>
          <w:bCs/>
          <w:kern w:val="28"/>
          <w:lang w:val="en-US" w:eastAsia="ro-RO"/>
        </w:rPr>
        <w:lastRenderedPageBreak/>
        <w:t xml:space="preserve">11. Qualification criteria and experience requirements for the shortlist </w:t>
      </w:r>
    </w:p>
    <w:tbl>
      <w:tblPr>
        <w:tblpPr w:leftFromText="180" w:rightFromText="180" w:vertAnchor="page" w:horzAnchor="margin" w:tblpXSpec="center" w:tblpY="1776"/>
        <w:tblW w:w="5000" w:type="pct"/>
        <w:tblCellMar>
          <w:left w:w="0" w:type="dxa"/>
          <w:right w:w="0" w:type="dxa"/>
        </w:tblCellMar>
        <w:tblLook w:val="04A0" w:firstRow="1" w:lastRow="0" w:firstColumn="1" w:lastColumn="0" w:noHBand="0" w:noVBand="1"/>
      </w:tblPr>
      <w:tblGrid>
        <w:gridCol w:w="8043"/>
        <w:gridCol w:w="1626"/>
      </w:tblGrid>
      <w:tr w:rsidR="00D4059A" w:rsidRPr="00FD4244" w14:paraId="63134FFD" w14:textId="77777777" w:rsidTr="00D4059A">
        <w:trPr>
          <w:trHeight w:val="502"/>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14EB3" w14:textId="77777777" w:rsidR="00D4059A" w:rsidRPr="00FD4244" w:rsidRDefault="00D4059A" w:rsidP="00D4059A">
            <w:pPr>
              <w:jc w:val="center"/>
              <w:rPr>
                <w:rFonts w:asciiTheme="majorHAnsi" w:hAnsiTheme="majorHAnsi"/>
                <w:b/>
                <w:bCs/>
                <w:noProof/>
                <w:spacing w:val="-2"/>
              </w:rPr>
            </w:pPr>
            <w:bookmarkStart w:id="6" w:name="_Hlk142993110"/>
            <w:r w:rsidRPr="00FD4244">
              <w:rPr>
                <w:rFonts w:asciiTheme="majorHAnsi" w:hAnsiTheme="majorHAnsi"/>
                <w:b/>
                <w:bCs/>
                <w:noProof/>
                <w:spacing w:val="-2"/>
              </w:rPr>
              <w:t>Criterii de calificare</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F5282F" w14:textId="77777777" w:rsidR="00D4059A" w:rsidRPr="00FD4244" w:rsidRDefault="00D4059A" w:rsidP="00D4059A">
            <w:pPr>
              <w:jc w:val="center"/>
              <w:rPr>
                <w:rFonts w:asciiTheme="majorHAnsi" w:hAnsiTheme="majorHAnsi"/>
                <w:b/>
                <w:bCs/>
                <w:noProof/>
                <w:spacing w:val="-2"/>
              </w:rPr>
            </w:pPr>
            <w:r w:rsidRPr="00FD4244">
              <w:rPr>
                <w:rFonts w:asciiTheme="majorHAnsi" w:hAnsiTheme="majorHAnsi"/>
                <w:b/>
                <w:bCs/>
                <w:noProof/>
                <w:spacing w:val="-2"/>
              </w:rPr>
              <w:t>Punctaj maxim</w:t>
            </w:r>
          </w:p>
        </w:tc>
      </w:tr>
      <w:tr w:rsidR="00D4059A" w:rsidRPr="00FD4244" w14:paraId="36723DFA" w14:textId="77777777" w:rsidTr="00D4059A">
        <w:trPr>
          <w:trHeight w:val="363"/>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F09099" w14:textId="77777777" w:rsidR="00D4059A" w:rsidRPr="00FD4244" w:rsidRDefault="00D4059A" w:rsidP="00D4059A">
            <w:pPr>
              <w:pStyle w:val="ListParagraph"/>
              <w:numPr>
                <w:ilvl w:val="0"/>
                <w:numId w:val="28"/>
              </w:numPr>
              <w:spacing w:before="60" w:after="0" w:line="240" w:lineRule="auto"/>
              <w:ind w:left="514" w:hanging="450"/>
              <w:jc w:val="both"/>
              <w:rPr>
                <w:rFonts w:asciiTheme="majorHAnsi" w:hAnsiTheme="majorHAnsi"/>
                <w:i/>
                <w:iCs/>
                <w:noProof/>
                <w:spacing w:val="-2"/>
                <w:lang w:val="en-US"/>
              </w:rPr>
            </w:pPr>
            <w:r w:rsidRPr="00FD4244">
              <w:rPr>
                <w:rFonts w:asciiTheme="majorHAnsi" w:hAnsiTheme="majorHAnsi"/>
                <w:lang w:val="en-US"/>
              </w:rPr>
              <w:t>Legal entity registered in the Republic of Moldova</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05E828CF" w14:textId="77777777" w:rsidR="00D4059A" w:rsidRPr="00FD4244" w:rsidRDefault="00D4059A" w:rsidP="00D4059A">
            <w:pPr>
              <w:jc w:val="center"/>
              <w:rPr>
                <w:rFonts w:asciiTheme="majorHAnsi" w:hAnsiTheme="majorHAnsi"/>
                <w:noProof/>
                <w:spacing w:val="-2"/>
              </w:rPr>
            </w:pPr>
            <w:r w:rsidRPr="00FD4244">
              <w:rPr>
                <w:rFonts w:asciiTheme="majorHAnsi" w:hAnsiTheme="majorHAnsi"/>
                <w:noProof/>
                <w:spacing w:val="-2"/>
              </w:rPr>
              <w:t>10</w:t>
            </w:r>
          </w:p>
        </w:tc>
      </w:tr>
      <w:tr w:rsidR="00D4059A" w:rsidRPr="00FD4244" w14:paraId="1CCB5FAF" w14:textId="77777777" w:rsidTr="00D4059A">
        <w:trPr>
          <w:trHeight w:val="363"/>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C0832D" w14:textId="6A5FDD39" w:rsidR="00D4059A" w:rsidRPr="00FD4244" w:rsidRDefault="00D4059A" w:rsidP="00D4059A">
            <w:pPr>
              <w:pStyle w:val="ListParagraph"/>
              <w:numPr>
                <w:ilvl w:val="0"/>
                <w:numId w:val="28"/>
              </w:numPr>
              <w:spacing w:before="60" w:after="0" w:line="240" w:lineRule="auto"/>
              <w:ind w:left="514" w:hanging="450"/>
              <w:jc w:val="both"/>
              <w:rPr>
                <w:rFonts w:asciiTheme="majorHAnsi" w:hAnsiTheme="majorHAnsi"/>
                <w:lang w:val="en-US"/>
              </w:rPr>
            </w:pPr>
            <w:r w:rsidRPr="00FD4244">
              <w:rPr>
                <w:rFonts w:asciiTheme="majorHAnsi" w:hAnsiTheme="majorHAnsi"/>
                <w:lang w:val="en-US"/>
              </w:rPr>
              <w:t>Applicant has successfully conducted a minimum 5 feasibility studies in the past 5 years.</w:t>
            </w:r>
            <w:r w:rsidR="00D968C8" w:rsidRPr="00FD4244">
              <w:rPr>
                <w:rFonts w:asciiTheme="majorHAnsi" w:hAnsiTheme="majorHAnsi"/>
                <w:lang w:val="en-US"/>
              </w:rPr>
              <w:t xml:space="preserve"> (to be confirmed)</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0F7529A5" w14:textId="77777777" w:rsidR="00D4059A" w:rsidRPr="00FD4244" w:rsidRDefault="00D4059A" w:rsidP="00D4059A">
            <w:pPr>
              <w:jc w:val="center"/>
              <w:rPr>
                <w:rFonts w:asciiTheme="majorHAnsi" w:hAnsiTheme="majorHAnsi"/>
                <w:noProof/>
                <w:spacing w:val="-2"/>
              </w:rPr>
            </w:pPr>
            <w:r w:rsidRPr="00FD4244">
              <w:rPr>
                <w:rFonts w:asciiTheme="majorHAnsi" w:hAnsiTheme="majorHAnsi"/>
                <w:noProof/>
                <w:spacing w:val="-2"/>
              </w:rPr>
              <w:t>20</w:t>
            </w:r>
          </w:p>
        </w:tc>
      </w:tr>
      <w:tr w:rsidR="00D4059A" w:rsidRPr="00FD4244" w14:paraId="787DE394" w14:textId="77777777" w:rsidTr="00D4059A">
        <w:trPr>
          <w:trHeight w:val="363"/>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226DA7" w14:textId="77777777" w:rsidR="00D4059A" w:rsidRPr="00FD4244" w:rsidRDefault="00D4059A" w:rsidP="00D4059A">
            <w:pPr>
              <w:pStyle w:val="ListParagraph"/>
              <w:numPr>
                <w:ilvl w:val="0"/>
                <w:numId w:val="28"/>
              </w:numPr>
              <w:spacing w:before="60" w:after="0" w:line="240" w:lineRule="auto"/>
              <w:ind w:left="514" w:hanging="450"/>
              <w:jc w:val="both"/>
              <w:rPr>
                <w:rFonts w:asciiTheme="majorHAnsi" w:hAnsiTheme="majorHAnsi"/>
                <w:lang w:val="en-US"/>
              </w:rPr>
            </w:pPr>
            <w:r w:rsidRPr="00FD4244">
              <w:rPr>
                <w:rFonts w:asciiTheme="majorHAnsi" w:hAnsiTheme="majorHAnsi"/>
                <w:lang w:val="en-US"/>
              </w:rPr>
              <w:t>At least 5 years' experience in agricultural consultancy and support, including experience in the preparation of feasibility studies for agricultural enterprises.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60D57888" w14:textId="3D3B946F" w:rsidR="00D4059A" w:rsidRPr="00FD4244" w:rsidRDefault="00D968C8" w:rsidP="00D4059A">
            <w:pPr>
              <w:jc w:val="center"/>
              <w:rPr>
                <w:rFonts w:asciiTheme="majorHAnsi" w:hAnsiTheme="majorHAnsi"/>
                <w:noProof/>
                <w:spacing w:val="-2"/>
                <w:lang w:val="en-US"/>
              </w:rPr>
            </w:pPr>
            <w:r w:rsidRPr="00FD4244">
              <w:rPr>
                <w:rFonts w:asciiTheme="majorHAnsi" w:hAnsiTheme="majorHAnsi"/>
                <w:noProof/>
                <w:spacing w:val="-2"/>
                <w:lang w:val="en-US"/>
              </w:rPr>
              <w:t>20</w:t>
            </w:r>
          </w:p>
        </w:tc>
      </w:tr>
      <w:tr w:rsidR="00D4059A" w:rsidRPr="00FD4244" w14:paraId="5D94E008" w14:textId="77777777" w:rsidTr="00D4059A">
        <w:trPr>
          <w:trHeight w:val="363"/>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908D5E" w14:textId="77777777" w:rsidR="00D4059A" w:rsidRPr="00FD4244" w:rsidRDefault="00D4059A" w:rsidP="00D4059A">
            <w:pPr>
              <w:pStyle w:val="ListParagraph"/>
              <w:numPr>
                <w:ilvl w:val="0"/>
                <w:numId w:val="28"/>
              </w:numPr>
              <w:spacing w:before="60" w:after="0" w:line="240" w:lineRule="auto"/>
              <w:ind w:left="514" w:hanging="450"/>
              <w:jc w:val="both"/>
              <w:rPr>
                <w:rFonts w:asciiTheme="majorHAnsi" w:hAnsiTheme="majorHAnsi"/>
                <w:lang w:val="en-US"/>
              </w:rPr>
            </w:pPr>
            <w:r w:rsidRPr="00FD4244">
              <w:rPr>
                <w:rFonts w:asciiTheme="majorHAnsi" w:hAnsiTheme="majorHAnsi"/>
                <w:lang w:val="en-US"/>
              </w:rPr>
              <w:t>Strong capacity and experience in planning and organizing the logistics for the feasibility studies, as evidenced by the size and geographical distribution carried out.</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148C1882" w14:textId="77777777" w:rsidR="00D4059A" w:rsidRPr="00FD4244" w:rsidRDefault="00D4059A" w:rsidP="00D4059A">
            <w:pPr>
              <w:jc w:val="center"/>
              <w:rPr>
                <w:rFonts w:asciiTheme="majorHAnsi" w:hAnsiTheme="majorHAnsi"/>
                <w:noProof/>
                <w:spacing w:val="-2"/>
              </w:rPr>
            </w:pPr>
            <w:r w:rsidRPr="00FD4244">
              <w:rPr>
                <w:rFonts w:asciiTheme="majorHAnsi" w:hAnsiTheme="majorHAnsi"/>
                <w:noProof/>
                <w:spacing w:val="-2"/>
              </w:rPr>
              <w:t>15</w:t>
            </w:r>
          </w:p>
        </w:tc>
      </w:tr>
      <w:tr w:rsidR="00D4059A" w:rsidRPr="00FD4244" w14:paraId="6F267B11" w14:textId="77777777" w:rsidTr="00D4059A">
        <w:trPr>
          <w:trHeight w:val="832"/>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38493" w14:textId="77777777" w:rsidR="00D4059A" w:rsidRPr="00FD4244" w:rsidRDefault="00D4059A" w:rsidP="00D4059A">
            <w:pPr>
              <w:pStyle w:val="ListParagraph"/>
              <w:numPr>
                <w:ilvl w:val="0"/>
                <w:numId w:val="28"/>
              </w:numPr>
              <w:overflowPunct w:val="0"/>
              <w:adjustRightInd w:val="0"/>
              <w:spacing w:before="60" w:after="0" w:line="240" w:lineRule="auto"/>
              <w:ind w:left="514" w:hanging="450"/>
              <w:jc w:val="both"/>
              <w:rPr>
                <w:rFonts w:asciiTheme="majorHAnsi" w:hAnsiTheme="majorHAnsi"/>
                <w:iCs/>
                <w:color w:val="000000" w:themeColor="text1"/>
                <w:lang w:val="en-US"/>
              </w:rPr>
            </w:pPr>
            <w:r w:rsidRPr="00FD4244">
              <w:rPr>
                <w:rFonts w:asciiTheme="majorHAnsi" w:hAnsiTheme="majorHAnsi"/>
                <w:lang w:val="en-US"/>
              </w:rPr>
              <w:t>Experience doing survey of the value chains in the Moldovan agricultural sector and carrying out evaluations in Republic of Moldova.</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1C3F0" w14:textId="77777777" w:rsidR="00D4059A" w:rsidRPr="00FD4244" w:rsidRDefault="00D4059A" w:rsidP="00D4059A">
            <w:pPr>
              <w:jc w:val="center"/>
              <w:rPr>
                <w:rFonts w:asciiTheme="majorHAnsi" w:hAnsiTheme="majorHAnsi"/>
                <w:noProof/>
                <w:spacing w:val="-2"/>
              </w:rPr>
            </w:pPr>
            <w:r w:rsidRPr="00FD4244">
              <w:rPr>
                <w:rFonts w:asciiTheme="majorHAnsi" w:hAnsiTheme="majorHAnsi"/>
                <w:noProof/>
                <w:spacing w:val="-2"/>
              </w:rPr>
              <w:t>10</w:t>
            </w:r>
          </w:p>
        </w:tc>
      </w:tr>
      <w:tr w:rsidR="00D4059A" w:rsidRPr="00FD4244" w14:paraId="4C22C1D1" w14:textId="77777777" w:rsidTr="00D4059A">
        <w:trPr>
          <w:trHeight w:val="425"/>
        </w:trPr>
        <w:tc>
          <w:tcPr>
            <w:tcW w:w="415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24C33D0" w14:textId="77777777" w:rsidR="00D4059A" w:rsidRPr="00FD4244" w:rsidRDefault="00D4059A" w:rsidP="00D4059A">
            <w:pPr>
              <w:pStyle w:val="ListParagraph"/>
              <w:numPr>
                <w:ilvl w:val="0"/>
                <w:numId w:val="28"/>
              </w:numPr>
              <w:spacing w:before="60" w:after="0" w:line="240" w:lineRule="auto"/>
              <w:ind w:left="514" w:hanging="450"/>
              <w:rPr>
                <w:rFonts w:asciiTheme="majorHAnsi" w:hAnsiTheme="majorHAnsi"/>
                <w:lang w:val="en-US"/>
              </w:rPr>
            </w:pPr>
            <w:r w:rsidRPr="00FD4244">
              <w:rPr>
                <w:rFonts w:asciiTheme="majorHAnsi" w:hAnsiTheme="majorHAnsi"/>
                <w:lang w:val="en-US"/>
              </w:rPr>
              <w:t>Having staff with expertise in data analysis, agriculture, agricultural economics, for the effective performance of the tasks listed in the terms of reference.</w:t>
            </w:r>
          </w:p>
        </w:tc>
        <w:tc>
          <w:tcPr>
            <w:tcW w:w="841" w:type="pct"/>
            <w:tcBorders>
              <w:top w:val="nil"/>
              <w:left w:val="nil"/>
              <w:bottom w:val="single" w:sz="4" w:space="0" w:color="auto"/>
              <w:right w:val="single" w:sz="8" w:space="0" w:color="auto"/>
            </w:tcBorders>
            <w:tcMar>
              <w:top w:w="0" w:type="dxa"/>
              <w:left w:w="108" w:type="dxa"/>
              <w:bottom w:w="0" w:type="dxa"/>
              <w:right w:w="108" w:type="dxa"/>
            </w:tcMar>
            <w:vAlign w:val="center"/>
          </w:tcPr>
          <w:p w14:paraId="306C7720" w14:textId="77777777" w:rsidR="00D4059A" w:rsidRPr="00FD4244" w:rsidRDefault="00D4059A" w:rsidP="00D4059A">
            <w:pPr>
              <w:jc w:val="center"/>
              <w:rPr>
                <w:rFonts w:asciiTheme="majorHAnsi" w:hAnsiTheme="majorHAnsi"/>
                <w:noProof/>
                <w:spacing w:val="-2"/>
              </w:rPr>
            </w:pPr>
            <w:r w:rsidRPr="00FD4244">
              <w:rPr>
                <w:rFonts w:asciiTheme="majorHAnsi" w:hAnsiTheme="majorHAnsi"/>
                <w:noProof/>
                <w:spacing w:val="-2"/>
              </w:rPr>
              <w:t>10</w:t>
            </w:r>
          </w:p>
        </w:tc>
      </w:tr>
      <w:tr w:rsidR="00D4059A" w:rsidRPr="00FD4244" w14:paraId="636172FE" w14:textId="77777777" w:rsidTr="00D4059A">
        <w:trPr>
          <w:trHeight w:val="425"/>
        </w:trPr>
        <w:tc>
          <w:tcPr>
            <w:tcW w:w="4159" w:type="pct"/>
            <w:tcBorders>
              <w:top w:val="nil"/>
              <w:left w:val="single" w:sz="8" w:space="0" w:color="auto"/>
              <w:bottom w:val="nil"/>
              <w:right w:val="single" w:sz="8" w:space="0" w:color="auto"/>
            </w:tcBorders>
            <w:tcMar>
              <w:top w:w="0" w:type="dxa"/>
              <w:left w:w="108" w:type="dxa"/>
              <w:bottom w:w="0" w:type="dxa"/>
              <w:right w:w="108" w:type="dxa"/>
            </w:tcMar>
            <w:vAlign w:val="center"/>
          </w:tcPr>
          <w:p w14:paraId="6C725BCB" w14:textId="04AE80E3" w:rsidR="00D4059A" w:rsidRPr="00FD4244" w:rsidRDefault="00D4059A" w:rsidP="00D4059A">
            <w:pPr>
              <w:pStyle w:val="ListParagraph"/>
              <w:numPr>
                <w:ilvl w:val="0"/>
                <w:numId w:val="28"/>
              </w:numPr>
              <w:spacing w:before="60" w:after="0" w:line="240" w:lineRule="auto"/>
              <w:ind w:left="514" w:hanging="450"/>
              <w:rPr>
                <w:rFonts w:asciiTheme="majorHAnsi" w:hAnsiTheme="majorHAnsi"/>
                <w:lang w:val="en-US"/>
              </w:rPr>
            </w:pPr>
            <w:r w:rsidRPr="00FD4244">
              <w:rPr>
                <w:rFonts w:asciiTheme="majorHAnsi" w:hAnsiTheme="majorHAnsi"/>
                <w:lang w:val="en-US"/>
              </w:rPr>
              <w:t>Experience in the organization of feasibility studies in the agricultural sector financed by external donors;</w:t>
            </w:r>
            <w:r w:rsidR="00D968C8" w:rsidRPr="00FD4244">
              <w:rPr>
                <w:rFonts w:asciiTheme="majorHAnsi" w:hAnsiTheme="majorHAnsi"/>
                <w:lang w:val="en-US"/>
              </w:rPr>
              <w:t xml:space="preserve"> ( to be confirmed)</w:t>
            </w:r>
          </w:p>
        </w:tc>
        <w:tc>
          <w:tcPr>
            <w:tcW w:w="841" w:type="pct"/>
            <w:tcBorders>
              <w:top w:val="nil"/>
              <w:left w:val="nil"/>
              <w:bottom w:val="nil"/>
              <w:right w:val="single" w:sz="8" w:space="0" w:color="auto"/>
            </w:tcBorders>
            <w:tcMar>
              <w:top w:w="0" w:type="dxa"/>
              <w:left w:w="108" w:type="dxa"/>
              <w:bottom w:w="0" w:type="dxa"/>
              <w:right w:w="108" w:type="dxa"/>
            </w:tcMar>
            <w:vAlign w:val="center"/>
          </w:tcPr>
          <w:p w14:paraId="7A387806" w14:textId="31BA41F6" w:rsidR="00D4059A" w:rsidRPr="00FD4244" w:rsidRDefault="00D968C8" w:rsidP="00D4059A">
            <w:pPr>
              <w:jc w:val="center"/>
              <w:rPr>
                <w:rFonts w:asciiTheme="majorHAnsi" w:hAnsiTheme="majorHAnsi"/>
                <w:noProof/>
                <w:spacing w:val="-2"/>
              </w:rPr>
            </w:pPr>
            <w:r w:rsidRPr="00FD4244">
              <w:rPr>
                <w:rFonts w:asciiTheme="majorHAnsi" w:hAnsiTheme="majorHAnsi"/>
                <w:noProof/>
                <w:spacing w:val="-2"/>
                <w:lang w:val="en-US"/>
              </w:rPr>
              <w:t>1</w:t>
            </w:r>
            <w:r w:rsidR="00D4059A" w:rsidRPr="00FD4244">
              <w:rPr>
                <w:rFonts w:asciiTheme="majorHAnsi" w:hAnsiTheme="majorHAnsi"/>
                <w:noProof/>
                <w:spacing w:val="-2"/>
              </w:rPr>
              <w:t>5</w:t>
            </w:r>
          </w:p>
        </w:tc>
      </w:tr>
      <w:tr w:rsidR="00D4059A" w:rsidRPr="00FD4244" w14:paraId="2D8E0E96" w14:textId="77777777" w:rsidTr="00D4059A">
        <w:trPr>
          <w:trHeight w:val="425"/>
        </w:trPr>
        <w:tc>
          <w:tcPr>
            <w:tcW w:w="415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C855B02" w14:textId="77777777" w:rsidR="00D4059A" w:rsidRPr="00FD4244" w:rsidRDefault="00D4059A" w:rsidP="00D4059A">
            <w:pPr>
              <w:pStyle w:val="ListParagraph"/>
              <w:spacing w:before="60" w:after="0" w:line="240" w:lineRule="auto"/>
              <w:ind w:left="514"/>
              <w:rPr>
                <w:rFonts w:asciiTheme="majorHAnsi" w:hAnsiTheme="majorHAnsi"/>
              </w:rPr>
            </w:pPr>
          </w:p>
        </w:tc>
        <w:tc>
          <w:tcPr>
            <w:tcW w:w="841" w:type="pct"/>
            <w:tcBorders>
              <w:top w:val="nil"/>
              <w:left w:val="nil"/>
              <w:bottom w:val="single" w:sz="4" w:space="0" w:color="auto"/>
              <w:right w:val="single" w:sz="8" w:space="0" w:color="auto"/>
            </w:tcBorders>
            <w:tcMar>
              <w:top w:w="0" w:type="dxa"/>
              <w:left w:w="108" w:type="dxa"/>
              <w:bottom w:w="0" w:type="dxa"/>
              <w:right w:w="108" w:type="dxa"/>
            </w:tcMar>
            <w:vAlign w:val="center"/>
          </w:tcPr>
          <w:p w14:paraId="13012250" w14:textId="77777777" w:rsidR="00D4059A" w:rsidRPr="00FD4244" w:rsidRDefault="00D4059A" w:rsidP="00D4059A">
            <w:pPr>
              <w:jc w:val="center"/>
              <w:rPr>
                <w:rFonts w:asciiTheme="majorHAnsi" w:hAnsiTheme="majorHAnsi"/>
                <w:noProof/>
                <w:spacing w:val="-2"/>
              </w:rPr>
            </w:pPr>
          </w:p>
        </w:tc>
      </w:tr>
      <w:bookmarkEnd w:id="6"/>
    </w:tbl>
    <w:p w14:paraId="46818FE0" w14:textId="77777777" w:rsidR="00901842" w:rsidRPr="00FD4244" w:rsidRDefault="00901842" w:rsidP="00901842">
      <w:pPr>
        <w:rPr>
          <w:rFonts w:asciiTheme="majorHAnsi" w:hAnsiTheme="majorHAnsi"/>
          <w:kern w:val="28"/>
          <w:lang w:val="ro-RO" w:eastAsia="ro-RO"/>
        </w:rPr>
      </w:pPr>
    </w:p>
    <w:p w14:paraId="73795080" w14:textId="77777777" w:rsidR="00901842" w:rsidRPr="00FD4244" w:rsidRDefault="00901842" w:rsidP="00901842">
      <w:pPr>
        <w:pStyle w:val="Outline2"/>
        <w:tabs>
          <w:tab w:val="left" w:pos="-2880"/>
        </w:tabs>
        <w:spacing w:after="120"/>
        <w:ind w:left="284" w:firstLine="0"/>
        <w:rPr>
          <w:rFonts w:asciiTheme="majorHAnsi" w:hAnsiTheme="majorHAnsi"/>
          <w:b/>
          <w:bCs/>
          <w:sz w:val="22"/>
          <w:szCs w:val="22"/>
          <w:lang w:val="en-US" w:eastAsia="ro-RO"/>
        </w:rPr>
      </w:pPr>
      <w:r w:rsidRPr="00FD4244">
        <w:rPr>
          <w:rFonts w:asciiTheme="majorHAnsi" w:hAnsiTheme="majorHAnsi"/>
          <w:b/>
          <w:bCs/>
          <w:sz w:val="22"/>
          <w:szCs w:val="22"/>
          <w:lang w:val="en-US" w:eastAsia="ro-RO"/>
        </w:rPr>
        <w:t>12. Offer content and evaluation criteria</w:t>
      </w:r>
    </w:p>
    <w:p w14:paraId="24616F25" w14:textId="455E5A08" w:rsidR="00901842" w:rsidRPr="00FD4244" w:rsidRDefault="00901842" w:rsidP="00901842">
      <w:pPr>
        <w:rPr>
          <w:rFonts w:asciiTheme="majorHAnsi" w:hAnsiTheme="majorHAnsi"/>
          <w:lang w:val="en-US"/>
        </w:rPr>
      </w:pPr>
      <w:r w:rsidRPr="00FD4244">
        <w:rPr>
          <w:rFonts w:asciiTheme="majorHAnsi" w:hAnsiTheme="majorHAnsi"/>
          <w:lang w:val="en-US"/>
        </w:rPr>
        <w:t>The evaluation committee shall evaluate the technical proposals on the basis of their responsiveness to the terms of reference, applying the evaluation criteria, sub criteria, and point system specified here below:</w:t>
      </w:r>
    </w:p>
    <w:p w14:paraId="48F19570" w14:textId="77777777" w:rsidR="00901842" w:rsidRPr="00FD4244" w:rsidRDefault="00901842" w:rsidP="00901842">
      <w:pPr>
        <w:pStyle w:val="BankNormal"/>
        <w:numPr>
          <w:ilvl w:val="0"/>
          <w:numId w:val="23"/>
        </w:numPr>
        <w:tabs>
          <w:tab w:val="left" w:pos="540"/>
        </w:tabs>
        <w:spacing w:after="120" w:line="288" w:lineRule="auto"/>
        <w:ind w:left="426"/>
        <w:rPr>
          <w:rFonts w:asciiTheme="majorHAnsi" w:hAnsiTheme="majorHAnsi" w:cstheme="minorBidi"/>
          <w:bCs/>
          <w:i/>
          <w:iCs/>
          <w:sz w:val="22"/>
          <w:szCs w:val="22"/>
        </w:rPr>
      </w:pPr>
    </w:p>
    <w:tbl>
      <w:tblPr>
        <w:tblStyle w:val="TableGrid"/>
        <w:tblW w:w="9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373"/>
      </w:tblGrid>
      <w:tr w:rsidR="00901842" w:rsidRPr="00FD4244" w14:paraId="287D0E40" w14:textId="77777777" w:rsidTr="008F7C89">
        <w:tc>
          <w:tcPr>
            <w:tcW w:w="9393" w:type="dxa"/>
            <w:gridSpan w:val="2"/>
            <w:shd w:val="clear" w:color="auto" w:fill="002060"/>
          </w:tcPr>
          <w:p w14:paraId="76FECFF6" w14:textId="77777777" w:rsidR="00901842" w:rsidRPr="00FD4244" w:rsidRDefault="00901842" w:rsidP="00901842">
            <w:pPr>
              <w:widowControl w:val="0"/>
              <w:tabs>
                <w:tab w:val="right" w:pos="8640"/>
              </w:tabs>
              <w:autoSpaceDE w:val="0"/>
              <w:autoSpaceDN w:val="0"/>
              <w:spacing w:before="120" w:after="120"/>
              <w:ind w:left="720" w:right="125" w:hanging="360"/>
              <w:jc w:val="right"/>
              <w:rPr>
                <w:rFonts w:asciiTheme="majorHAnsi" w:hAnsiTheme="majorHAnsi"/>
              </w:rPr>
            </w:pPr>
            <w:r w:rsidRPr="00FD4244">
              <w:rPr>
                <w:rFonts w:asciiTheme="majorHAnsi" w:hAnsiTheme="majorHAnsi"/>
              </w:rPr>
              <w:t>Points</w:t>
            </w:r>
          </w:p>
        </w:tc>
      </w:tr>
      <w:tr w:rsidR="00901842" w:rsidRPr="00FD4244" w14:paraId="3DDF7F74" w14:textId="77777777" w:rsidTr="008F7C89">
        <w:tc>
          <w:tcPr>
            <w:tcW w:w="7020" w:type="dxa"/>
            <w:shd w:val="clear" w:color="auto" w:fill="DAEEF3" w:themeFill="accent5" w:themeFillTint="33"/>
          </w:tcPr>
          <w:p w14:paraId="609866B8" w14:textId="77777777" w:rsidR="00901842" w:rsidRPr="00FD4244" w:rsidRDefault="00901842" w:rsidP="00901842">
            <w:pPr>
              <w:pStyle w:val="ListParagraph"/>
              <w:widowControl w:val="0"/>
              <w:numPr>
                <w:ilvl w:val="0"/>
                <w:numId w:val="24"/>
              </w:numPr>
              <w:tabs>
                <w:tab w:val="right" w:pos="8640"/>
              </w:tabs>
              <w:autoSpaceDE w:val="0"/>
              <w:autoSpaceDN w:val="0"/>
              <w:spacing w:before="120" w:after="120"/>
              <w:ind w:left="461" w:right="125" w:hanging="283"/>
              <w:contextualSpacing w:val="0"/>
              <w:rPr>
                <w:rFonts w:asciiTheme="majorHAnsi" w:hAnsiTheme="majorHAnsi"/>
                <w:bCs/>
                <w:lang w:val="en-US"/>
              </w:rPr>
            </w:pPr>
            <w:r w:rsidRPr="00FD4244">
              <w:rPr>
                <w:rFonts w:asciiTheme="majorHAnsi" w:hAnsiTheme="majorHAnsi"/>
                <w:bCs/>
                <w:lang w:val="en-US"/>
              </w:rPr>
              <w:t>Specific experience of the consultant (as a firm) relevant to the assignment:</w:t>
            </w:r>
          </w:p>
          <w:p w14:paraId="51A986E5" w14:textId="77777777" w:rsidR="00901842" w:rsidRPr="00FD4244" w:rsidRDefault="00901842" w:rsidP="00901842">
            <w:pPr>
              <w:pStyle w:val="ListParagraph"/>
              <w:widowControl w:val="0"/>
              <w:tabs>
                <w:tab w:val="right" w:pos="8640"/>
              </w:tabs>
              <w:autoSpaceDE w:val="0"/>
              <w:autoSpaceDN w:val="0"/>
              <w:spacing w:before="120" w:after="120"/>
              <w:ind w:left="461" w:right="125" w:hanging="360"/>
              <w:contextualSpacing w:val="0"/>
              <w:jc w:val="both"/>
              <w:rPr>
                <w:rFonts w:asciiTheme="majorHAnsi" w:hAnsiTheme="majorHAnsi"/>
                <w:bCs/>
                <w:i/>
                <w:iCs/>
                <w:lang w:val="en-US"/>
              </w:rPr>
            </w:pPr>
            <w:r w:rsidRPr="00FD4244">
              <w:rPr>
                <w:rFonts w:asciiTheme="majorHAnsi" w:hAnsiTheme="majorHAnsi"/>
                <w:bCs/>
                <w:i/>
                <w:iCs/>
                <w:lang w:val="en-US"/>
              </w:rPr>
              <w:t>(Number of contracts signed in the last 5 years in in conducting of quantitative and qualitative and/or organizing surveys in the agricultural/ agro-processing sectors in Moldova)</w:t>
            </w:r>
          </w:p>
        </w:tc>
        <w:tc>
          <w:tcPr>
            <w:tcW w:w="2373" w:type="dxa"/>
            <w:shd w:val="clear" w:color="auto" w:fill="DAEEF3" w:themeFill="accent5" w:themeFillTint="33"/>
          </w:tcPr>
          <w:p w14:paraId="6FA8E82A" w14:textId="77777777" w:rsidR="00901842" w:rsidRPr="00FD4244" w:rsidRDefault="00901842" w:rsidP="00901842">
            <w:pPr>
              <w:widowControl w:val="0"/>
              <w:tabs>
                <w:tab w:val="right" w:pos="8640"/>
              </w:tabs>
              <w:autoSpaceDE w:val="0"/>
              <w:autoSpaceDN w:val="0"/>
              <w:spacing w:before="120" w:after="120"/>
              <w:ind w:left="720" w:right="125" w:hanging="360"/>
              <w:jc w:val="right"/>
              <w:rPr>
                <w:rFonts w:asciiTheme="majorHAnsi" w:hAnsiTheme="majorHAnsi"/>
                <w:bCs/>
              </w:rPr>
            </w:pPr>
            <w:r w:rsidRPr="00FD4244">
              <w:rPr>
                <w:rFonts w:asciiTheme="majorHAnsi" w:hAnsiTheme="majorHAnsi"/>
                <w:bCs/>
                <w:i/>
              </w:rPr>
              <w:t>10</w:t>
            </w:r>
          </w:p>
        </w:tc>
      </w:tr>
      <w:tr w:rsidR="00901842" w:rsidRPr="00FD4244" w14:paraId="5869A6C4" w14:textId="77777777" w:rsidTr="008F7C89">
        <w:tc>
          <w:tcPr>
            <w:tcW w:w="7020" w:type="dxa"/>
            <w:tcBorders>
              <w:top w:val="nil"/>
              <w:left w:val="nil"/>
              <w:bottom w:val="single" w:sz="4" w:space="0" w:color="auto"/>
              <w:right w:val="nil"/>
            </w:tcBorders>
            <w:shd w:val="clear" w:color="auto" w:fill="FFFFFF" w:themeFill="background1"/>
          </w:tcPr>
          <w:p w14:paraId="42296A12" w14:textId="77777777" w:rsidR="00901842" w:rsidRPr="00FD4244" w:rsidRDefault="00901842" w:rsidP="00901842">
            <w:pPr>
              <w:pStyle w:val="ListParagraph"/>
              <w:widowControl w:val="0"/>
              <w:numPr>
                <w:ilvl w:val="0"/>
                <w:numId w:val="24"/>
              </w:numPr>
              <w:tabs>
                <w:tab w:val="right" w:pos="8640"/>
              </w:tabs>
              <w:autoSpaceDE w:val="0"/>
              <w:autoSpaceDN w:val="0"/>
              <w:spacing w:before="120" w:after="120"/>
              <w:ind w:left="461" w:right="125" w:hanging="283"/>
              <w:contextualSpacing w:val="0"/>
              <w:rPr>
                <w:rFonts w:asciiTheme="majorHAnsi" w:hAnsiTheme="majorHAnsi"/>
                <w:bCs/>
                <w:lang w:val="en-US"/>
              </w:rPr>
            </w:pPr>
            <w:r w:rsidRPr="00FD4244">
              <w:rPr>
                <w:rFonts w:asciiTheme="majorHAnsi" w:hAnsiTheme="majorHAnsi"/>
                <w:bCs/>
                <w:lang w:val="en-US"/>
              </w:rPr>
              <w:t>Adequacy and quality of the proposed methodology, and work plan in responding to the terms of reference (TOR):</w:t>
            </w:r>
          </w:p>
        </w:tc>
        <w:tc>
          <w:tcPr>
            <w:tcW w:w="2373" w:type="dxa"/>
            <w:tcBorders>
              <w:top w:val="nil"/>
              <w:left w:val="nil"/>
              <w:bottom w:val="single" w:sz="4" w:space="0" w:color="auto"/>
              <w:right w:val="nil"/>
            </w:tcBorders>
            <w:shd w:val="clear" w:color="auto" w:fill="FFFFFF" w:themeFill="background1"/>
          </w:tcPr>
          <w:p w14:paraId="49D701B7" w14:textId="77777777" w:rsidR="00901842" w:rsidRPr="00FD4244" w:rsidRDefault="00901842" w:rsidP="00901842">
            <w:pPr>
              <w:widowControl w:val="0"/>
              <w:tabs>
                <w:tab w:val="right" w:pos="8640"/>
              </w:tabs>
              <w:autoSpaceDE w:val="0"/>
              <w:autoSpaceDN w:val="0"/>
              <w:spacing w:after="120" w:line="276" w:lineRule="auto"/>
              <w:ind w:left="720" w:right="125" w:hanging="360"/>
              <w:contextualSpacing/>
              <w:jc w:val="right"/>
              <w:rPr>
                <w:rFonts w:asciiTheme="majorHAnsi" w:hAnsiTheme="majorHAnsi"/>
                <w:bCs/>
              </w:rPr>
            </w:pPr>
            <w:r w:rsidRPr="00FD4244">
              <w:rPr>
                <w:rFonts w:asciiTheme="majorHAnsi" w:hAnsiTheme="majorHAnsi"/>
                <w:bCs/>
                <w:i/>
              </w:rPr>
              <w:t>30</w:t>
            </w:r>
          </w:p>
        </w:tc>
      </w:tr>
      <w:tr w:rsidR="00901842" w:rsidRPr="00C41EFF" w14:paraId="032E593B" w14:textId="77777777" w:rsidTr="008F7C89">
        <w:tc>
          <w:tcPr>
            <w:tcW w:w="939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2F8C83" w14:textId="77777777" w:rsidR="00901842" w:rsidRPr="00FD4244" w:rsidRDefault="00901842" w:rsidP="00901842">
            <w:pPr>
              <w:pStyle w:val="ListParagraph"/>
              <w:widowControl w:val="0"/>
              <w:numPr>
                <w:ilvl w:val="0"/>
                <w:numId w:val="24"/>
              </w:numPr>
              <w:tabs>
                <w:tab w:val="right" w:pos="8640"/>
              </w:tabs>
              <w:autoSpaceDE w:val="0"/>
              <w:autoSpaceDN w:val="0"/>
              <w:spacing w:before="120" w:after="120"/>
              <w:ind w:right="125"/>
              <w:contextualSpacing w:val="0"/>
              <w:rPr>
                <w:rFonts w:asciiTheme="majorHAnsi" w:hAnsiTheme="majorHAnsi"/>
                <w:bCs/>
                <w:lang w:val="en-US"/>
              </w:rPr>
            </w:pPr>
            <w:r w:rsidRPr="00FD4244">
              <w:rPr>
                <w:rFonts w:asciiTheme="majorHAnsi" w:hAnsiTheme="majorHAnsi"/>
                <w:bCs/>
                <w:lang w:val="en-US"/>
              </w:rPr>
              <w:t>Key experts’ qualifications and competence for the assignment:</w:t>
            </w:r>
          </w:p>
        </w:tc>
      </w:tr>
      <w:tr w:rsidR="00901842" w:rsidRPr="00FD4244" w14:paraId="21347C9F" w14:textId="77777777" w:rsidTr="008F7C89">
        <w:tc>
          <w:tcPr>
            <w:tcW w:w="70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21E588" w14:textId="77777777" w:rsidR="00901842" w:rsidRPr="00FD4244" w:rsidRDefault="00901842" w:rsidP="00901842">
            <w:pPr>
              <w:pStyle w:val="ListParagraph"/>
              <w:widowControl w:val="0"/>
              <w:numPr>
                <w:ilvl w:val="0"/>
                <w:numId w:val="25"/>
              </w:numPr>
              <w:tabs>
                <w:tab w:val="left" w:pos="826"/>
                <w:tab w:val="right" w:pos="7201"/>
              </w:tabs>
              <w:autoSpaceDE w:val="0"/>
              <w:autoSpaceDN w:val="0"/>
              <w:spacing w:before="120" w:after="120"/>
              <w:ind w:right="125"/>
              <w:contextualSpacing w:val="0"/>
              <w:rPr>
                <w:rFonts w:asciiTheme="majorHAnsi" w:hAnsiTheme="majorHAnsi"/>
                <w:i/>
              </w:rPr>
            </w:pPr>
            <w:r w:rsidRPr="00FD4244">
              <w:rPr>
                <w:rFonts w:asciiTheme="majorHAnsi" w:hAnsiTheme="majorHAnsi"/>
                <w:i/>
              </w:rPr>
              <w:lastRenderedPageBreak/>
              <w:t>Position K-1: Team Leader</w:t>
            </w:r>
          </w:p>
        </w:tc>
        <w:tc>
          <w:tcPr>
            <w:tcW w:w="237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6F559F" w14:textId="77777777" w:rsidR="00901842" w:rsidRPr="00FD4244" w:rsidRDefault="00901842" w:rsidP="00901842">
            <w:pPr>
              <w:widowControl w:val="0"/>
              <w:tabs>
                <w:tab w:val="left" w:pos="826"/>
                <w:tab w:val="right" w:pos="7201"/>
              </w:tabs>
              <w:autoSpaceDE w:val="0"/>
              <w:autoSpaceDN w:val="0"/>
              <w:spacing w:before="120" w:after="120"/>
              <w:ind w:left="720" w:right="125" w:hanging="360"/>
              <w:jc w:val="right"/>
              <w:rPr>
                <w:rFonts w:asciiTheme="majorHAnsi" w:hAnsiTheme="majorHAnsi"/>
                <w:i/>
              </w:rPr>
            </w:pPr>
            <w:r w:rsidRPr="00FD4244">
              <w:rPr>
                <w:rFonts w:asciiTheme="majorHAnsi" w:hAnsiTheme="majorHAnsi"/>
                <w:i/>
              </w:rPr>
              <w:t>20</w:t>
            </w:r>
          </w:p>
        </w:tc>
      </w:tr>
      <w:tr w:rsidR="00901842" w:rsidRPr="00FD4244" w14:paraId="34FF2405" w14:textId="77777777" w:rsidTr="008F7C89">
        <w:tc>
          <w:tcPr>
            <w:tcW w:w="70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59D9AA7" w14:textId="77777777" w:rsidR="00901842" w:rsidRPr="00FD4244" w:rsidRDefault="00901842" w:rsidP="00901842">
            <w:pPr>
              <w:pStyle w:val="ListParagraph"/>
              <w:widowControl w:val="0"/>
              <w:numPr>
                <w:ilvl w:val="0"/>
                <w:numId w:val="25"/>
              </w:numPr>
              <w:autoSpaceDE w:val="0"/>
              <w:autoSpaceDN w:val="0"/>
              <w:spacing w:after="120"/>
              <w:ind w:right="125"/>
              <w:contextualSpacing w:val="0"/>
              <w:rPr>
                <w:rFonts w:asciiTheme="majorHAnsi" w:hAnsiTheme="majorHAnsi"/>
                <w:i/>
                <w:lang w:val="en-US"/>
              </w:rPr>
            </w:pPr>
            <w:r w:rsidRPr="00FD4244">
              <w:rPr>
                <w:rFonts w:asciiTheme="majorHAnsi" w:hAnsiTheme="majorHAnsi"/>
                <w:i/>
                <w:lang w:val="en-US"/>
              </w:rPr>
              <w:t>Position K-2: Expert in data analysis and quantitative survey implementation</w:t>
            </w:r>
          </w:p>
        </w:tc>
        <w:tc>
          <w:tcPr>
            <w:tcW w:w="237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A42F008" w14:textId="77777777" w:rsidR="00901842" w:rsidRPr="00FD4244" w:rsidRDefault="00901842" w:rsidP="00901842">
            <w:pPr>
              <w:widowControl w:val="0"/>
              <w:tabs>
                <w:tab w:val="left" w:pos="826"/>
                <w:tab w:val="right" w:pos="7201"/>
              </w:tabs>
              <w:autoSpaceDE w:val="0"/>
              <w:autoSpaceDN w:val="0"/>
              <w:spacing w:before="120" w:after="120"/>
              <w:ind w:left="720" w:right="125" w:hanging="360"/>
              <w:jc w:val="right"/>
              <w:rPr>
                <w:rFonts w:asciiTheme="majorHAnsi" w:hAnsiTheme="majorHAnsi"/>
                <w:i/>
              </w:rPr>
            </w:pPr>
            <w:r w:rsidRPr="00FD4244">
              <w:rPr>
                <w:rFonts w:asciiTheme="majorHAnsi" w:hAnsiTheme="majorHAnsi"/>
                <w:i/>
              </w:rPr>
              <w:t>15</w:t>
            </w:r>
          </w:p>
        </w:tc>
      </w:tr>
      <w:tr w:rsidR="00901842" w:rsidRPr="00FD4244" w14:paraId="0BAC406C" w14:textId="77777777" w:rsidTr="008F7C89">
        <w:tc>
          <w:tcPr>
            <w:tcW w:w="70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15A7BD" w14:textId="77777777" w:rsidR="00901842" w:rsidRPr="00FD4244" w:rsidRDefault="00901842" w:rsidP="00901842">
            <w:pPr>
              <w:pStyle w:val="ListParagraph"/>
              <w:widowControl w:val="0"/>
              <w:numPr>
                <w:ilvl w:val="0"/>
                <w:numId w:val="25"/>
              </w:numPr>
              <w:autoSpaceDE w:val="0"/>
              <w:autoSpaceDN w:val="0"/>
              <w:spacing w:after="120"/>
              <w:ind w:right="125"/>
              <w:contextualSpacing w:val="0"/>
              <w:rPr>
                <w:rFonts w:asciiTheme="majorHAnsi" w:hAnsiTheme="majorHAnsi"/>
                <w:i/>
                <w:lang w:val="en-US"/>
              </w:rPr>
            </w:pPr>
            <w:r w:rsidRPr="00FD4244">
              <w:rPr>
                <w:rFonts w:asciiTheme="majorHAnsi" w:hAnsiTheme="majorHAnsi"/>
                <w:i/>
                <w:lang w:val="en-US"/>
              </w:rPr>
              <w:t>Position K-3: Expert in agriculture</w:t>
            </w:r>
          </w:p>
        </w:tc>
        <w:tc>
          <w:tcPr>
            <w:tcW w:w="237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8D0C1EB" w14:textId="77777777" w:rsidR="00901842" w:rsidRPr="00FD4244" w:rsidRDefault="00901842" w:rsidP="00901842">
            <w:pPr>
              <w:widowControl w:val="0"/>
              <w:tabs>
                <w:tab w:val="left" w:pos="826"/>
                <w:tab w:val="right" w:pos="7201"/>
              </w:tabs>
              <w:autoSpaceDE w:val="0"/>
              <w:autoSpaceDN w:val="0"/>
              <w:spacing w:before="120" w:after="120"/>
              <w:ind w:left="720" w:right="125" w:hanging="360"/>
              <w:jc w:val="right"/>
              <w:rPr>
                <w:rFonts w:asciiTheme="majorHAnsi" w:hAnsiTheme="majorHAnsi"/>
                <w:i/>
              </w:rPr>
            </w:pPr>
            <w:r w:rsidRPr="00FD4244">
              <w:rPr>
                <w:rFonts w:asciiTheme="majorHAnsi" w:hAnsiTheme="majorHAnsi"/>
                <w:i/>
              </w:rPr>
              <w:t>15</w:t>
            </w:r>
          </w:p>
        </w:tc>
      </w:tr>
      <w:tr w:rsidR="00901842" w:rsidRPr="00FD4244" w14:paraId="549673ED" w14:textId="77777777" w:rsidTr="008F7C89">
        <w:tc>
          <w:tcPr>
            <w:tcW w:w="70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A301FDC" w14:textId="77777777" w:rsidR="00901842" w:rsidRPr="00FD4244" w:rsidRDefault="00901842" w:rsidP="00901842">
            <w:pPr>
              <w:pStyle w:val="ListParagraph"/>
              <w:widowControl w:val="0"/>
              <w:numPr>
                <w:ilvl w:val="0"/>
                <w:numId w:val="25"/>
              </w:numPr>
              <w:autoSpaceDE w:val="0"/>
              <w:autoSpaceDN w:val="0"/>
              <w:spacing w:after="120"/>
              <w:ind w:right="125"/>
              <w:contextualSpacing w:val="0"/>
              <w:rPr>
                <w:rFonts w:asciiTheme="majorHAnsi" w:hAnsiTheme="majorHAnsi"/>
                <w:i/>
                <w:lang w:val="en-US"/>
              </w:rPr>
            </w:pPr>
            <w:r w:rsidRPr="00FD4244">
              <w:rPr>
                <w:rFonts w:asciiTheme="majorHAnsi" w:hAnsiTheme="majorHAnsi"/>
                <w:i/>
                <w:lang w:val="en-US"/>
              </w:rPr>
              <w:t>Position K-4: Expert in agricultural finance</w:t>
            </w:r>
          </w:p>
        </w:tc>
        <w:tc>
          <w:tcPr>
            <w:tcW w:w="237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4336B4" w14:textId="77777777" w:rsidR="00901842" w:rsidRPr="00FD4244" w:rsidRDefault="00901842" w:rsidP="00901842">
            <w:pPr>
              <w:widowControl w:val="0"/>
              <w:tabs>
                <w:tab w:val="left" w:pos="826"/>
                <w:tab w:val="right" w:pos="7201"/>
              </w:tabs>
              <w:autoSpaceDE w:val="0"/>
              <w:autoSpaceDN w:val="0"/>
              <w:spacing w:before="120" w:after="120"/>
              <w:ind w:left="720" w:right="125" w:hanging="360"/>
              <w:jc w:val="right"/>
              <w:rPr>
                <w:rFonts w:asciiTheme="majorHAnsi" w:hAnsiTheme="majorHAnsi"/>
                <w:i/>
              </w:rPr>
            </w:pPr>
            <w:r w:rsidRPr="00FD4244">
              <w:rPr>
                <w:rFonts w:asciiTheme="majorHAnsi" w:hAnsiTheme="majorHAnsi"/>
                <w:i/>
              </w:rPr>
              <w:t>10</w:t>
            </w:r>
          </w:p>
        </w:tc>
      </w:tr>
      <w:tr w:rsidR="00901842" w:rsidRPr="00FD4244" w14:paraId="13EFD10E" w14:textId="77777777" w:rsidTr="008F7C89">
        <w:tc>
          <w:tcPr>
            <w:tcW w:w="7020" w:type="dxa"/>
            <w:tcBorders>
              <w:top w:val="single" w:sz="4" w:space="0" w:color="auto"/>
              <w:left w:val="nil"/>
              <w:bottom w:val="nil"/>
              <w:right w:val="nil"/>
            </w:tcBorders>
          </w:tcPr>
          <w:p w14:paraId="2AEA3174" w14:textId="77777777" w:rsidR="00901842" w:rsidRPr="00FD4244" w:rsidRDefault="00901842" w:rsidP="00901842">
            <w:pPr>
              <w:widowControl w:val="0"/>
              <w:tabs>
                <w:tab w:val="right" w:pos="6120"/>
                <w:tab w:val="right" w:pos="8640"/>
              </w:tabs>
              <w:autoSpaceDE w:val="0"/>
              <w:autoSpaceDN w:val="0"/>
              <w:spacing w:before="120" w:after="120"/>
              <w:ind w:left="720" w:right="125" w:hanging="360"/>
              <w:jc w:val="center"/>
              <w:rPr>
                <w:rFonts w:asciiTheme="majorHAnsi" w:hAnsiTheme="majorHAnsi"/>
                <w:b/>
                <w:i/>
                <w:lang w:val="en-US"/>
              </w:rPr>
            </w:pPr>
            <w:r w:rsidRPr="00FD4244">
              <w:rPr>
                <w:rFonts w:asciiTheme="majorHAnsi" w:hAnsiTheme="majorHAnsi"/>
                <w:b/>
                <w:lang w:val="en-US"/>
              </w:rPr>
              <w:t>Total points for criterion III:</w:t>
            </w:r>
          </w:p>
        </w:tc>
        <w:tc>
          <w:tcPr>
            <w:tcW w:w="2373" w:type="dxa"/>
            <w:tcBorders>
              <w:top w:val="single" w:sz="4" w:space="0" w:color="auto"/>
              <w:left w:val="nil"/>
              <w:bottom w:val="nil"/>
              <w:right w:val="nil"/>
            </w:tcBorders>
          </w:tcPr>
          <w:p w14:paraId="7577E742" w14:textId="77777777" w:rsidR="00901842" w:rsidRPr="00FD4244" w:rsidRDefault="00901842" w:rsidP="00901842">
            <w:pPr>
              <w:widowControl w:val="0"/>
              <w:tabs>
                <w:tab w:val="right" w:pos="6120"/>
                <w:tab w:val="right" w:pos="8640"/>
              </w:tabs>
              <w:autoSpaceDE w:val="0"/>
              <w:autoSpaceDN w:val="0"/>
              <w:spacing w:before="120" w:after="120"/>
              <w:ind w:left="720" w:right="125" w:hanging="360"/>
              <w:jc w:val="right"/>
              <w:rPr>
                <w:rFonts w:asciiTheme="majorHAnsi" w:hAnsiTheme="majorHAnsi"/>
                <w:i/>
              </w:rPr>
            </w:pPr>
            <w:r w:rsidRPr="00FD4244">
              <w:rPr>
                <w:rFonts w:asciiTheme="majorHAnsi" w:hAnsiTheme="majorHAnsi"/>
                <w:i/>
              </w:rPr>
              <w:t>60</w:t>
            </w:r>
          </w:p>
        </w:tc>
      </w:tr>
    </w:tbl>
    <w:p w14:paraId="7233C626" w14:textId="77777777" w:rsidR="00901842" w:rsidRPr="00FD4244" w:rsidRDefault="00901842" w:rsidP="00901842">
      <w:pPr>
        <w:pStyle w:val="BankNormal"/>
        <w:tabs>
          <w:tab w:val="right" w:pos="7218"/>
        </w:tabs>
        <w:spacing w:beforeLines="120" w:before="288" w:after="0"/>
        <w:ind w:left="720"/>
        <w:rPr>
          <w:rFonts w:asciiTheme="majorHAnsi" w:hAnsiTheme="majorHAnsi" w:cstheme="minorBidi"/>
          <w:sz w:val="22"/>
          <w:szCs w:val="22"/>
          <w:lang w:eastAsia="it-IT"/>
        </w:rPr>
      </w:pPr>
      <w:r w:rsidRPr="00FD4244">
        <w:rPr>
          <w:rFonts w:asciiTheme="majorHAnsi" w:hAnsiTheme="majorHAnsi" w:cstheme="minorBidi"/>
          <w:sz w:val="22"/>
          <w:szCs w:val="22"/>
          <w:lang w:eastAsia="it-IT"/>
        </w:rPr>
        <w:t>The number of points to be assigned to each of the above positions shall be determined considering the following three sub-criteria and relevant percentage weights: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3733"/>
      </w:tblGrid>
      <w:tr w:rsidR="00901842" w:rsidRPr="00FD4244" w14:paraId="55F2BD38" w14:textId="77777777" w:rsidTr="008F7C89">
        <w:tc>
          <w:tcPr>
            <w:tcW w:w="5387" w:type="dxa"/>
            <w:shd w:val="clear" w:color="auto" w:fill="DAEEF3" w:themeFill="accent5" w:themeFillTint="33"/>
          </w:tcPr>
          <w:p w14:paraId="47458542" w14:textId="77777777" w:rsidR="00901842" w:rsidRPr="00FD4244" w:rsidRDefault="00901842" w:rsidP="00901842">
            <w:pPr>
              <w:pStyle w:val="ListParagraph"/>
              <w:widowControl w:val="0"/>
              <w:numPr>
                <w:ilvl w:val="0"/>
                <w:numId w:val="26"/>
              </w:numPr>
              <w:tabs>
                <w:tab w:val="right" w:pos="8550"/>
              </w:tabs>
              <w:autoSpaceDE w:val="0"/>
              <w:autoSpaceDN w:val="0"/>
              <w:adjustRightInd w:val="0"/>
              <w:spacing w:beforeLines="120" w:before="288" w:after="120"/>
              <w:ind w:right="125"/>
              <w:contextualSpacing w:val="0"/>
              <w:rPr>
                <w:rFonts w:asciiTheme="majorHAnsi" w:hAnsiTheme="majorHAnsi"/>
                <w:i/>
                <w:iCs/>
                <w:lang w:val="en-US"/>
              </w:rPr>
            </w:pPr>
            <w:r w:rsidRPr="00FD4244">
              <w:rPr>
                <w:rFonts w:asciiTheme="majorHAnsi" w:hAnsiTheme="majorHAnsi"/>
                <w:i/>
                <w:iCs/>
                <w:lang w:val="en-US"/>
              </w:rPr>
              <w:t>General qualifications (general education, training, and experience):</w:t>
            </w:r>
          </w:p>
        </w:tc>
        <w:tc>
          <w:tcPr>
            <w:tcW w:w="3827" w:type="dxa"/>
            <w:shd w:val="clear" w:color="auto" w:fill="DAEEF3" w:themeFill="accent5" w:themeFillTint="33"/>
          </w:tcPr>
          <w:p w14:paraId="51160CB8" w14:textId="77777777" w:rsidR="00901842" w:rsidRPr="00FD4244" w:rsidRDefault="00901842" w:rsidP="00901842">
            <w:pPr>
              <w:widowControl w:val="0"/>
              <w:tabs>
                <w:tab w:val="right" w:pos="8550"/>
              </w:tabs>
              <w:autoSpaceDE w:val="0"/>
              <w:autoSpaceDN w:val="0"/>
              <w:spacing w:beforeLines="120" w:before="288" w:after="120"/>
              <w:ind w:left="720" w:right="125" w:hanging="360"/>
              <w:jc w:val="right"/>
              <w:rPr>
                <w:rFonts w:asciiTheme="majorHAnsi" w:hAnsiTheme="majorHAnsi"/>
                <w:i/>
                <w:iCs/>
              </w:rPr>
            </w:pPr>
            <w:r w:rsidRPr="00FD4244">
              <w:rPr>
                <w:rFonts w:asciiTheme="majorHAnsi" w:hAnsiTheme="majorHAnsi"/>
                <w:i/>
                <w:iCs/>
              </w:rPr>
              <w:t>20 %</w:t>
            </w:r>
          </w:p>
        </w:tc>
      </w:tr>
      <w:tr w:rsidR="00901842" w:rsidRPr="00FD4244" w14:paraId="5454EFFE" w14:textId="77777777" w:rsidTr="008F7C89">
        <w:tc>
          <w:tcPr>
            <w:tcW w:w="5387" w:type="dxa"/>
          </w:tcPr>
          <w:p w14:paraId="5C51E708" w14:textId="77777777" w:rsidR="00901842" w:rsidRPr="00FD4244" w:rsidRDefault="00901842" w:rsidP="00901842">
            <w:pPr>
              <w:pStyle w:val="ListParagraph"/>
              <w:widowControl w:val="0"/>
              <w:numPr>
                <w:ilvl w:val="0"/>
                <w:numId w:val="26"/>
              </w:numPr>
              <w:tabs>
                <w:tab w:val="right" w:pos="8550"/>
              </w:tabs>
              <w:autoSpaceDE w:val="0"/>
              <w:autoSpaceDN w:val="0"/>
              <w:adjustRightInd w:val="0"/>
              <w:spacing w:beforeLines="120" w:before="288" w:after="120"/>
              <w:ind w:right="125"/>
              <w:contextualSpacing w:val="0"/>
              <w:rPr>
                <w:rFonts w:asciiTheme="majorHAnsi" w:hAnsiTheme="majorHAnsi"/>
                <w:i/>
                <w:iCs/>
                <w:lang w:val="en-US"/>
              </w:rPr>
            </w:pPr>
            <w:r w:rsidRPr="00FD4244">
              <w:rPr>
                <w:rFonts w:asciiTheme="majorHAnsi" w:hAnsiTheme="majorHAnsi"/>
                <w:i/>
                <w:iCs/>
                <w:lang w:val="en-US"/>
              </w:rPr>
              <w:t>Adequacy for the assignment (relevant education, training, experience in the sector/similar assignments):</w:t>
            </w:r>
          </w:p>
        </w:tc>
        <w:tc>
          <w:tcPr>
            <w:tcW w:w="3827" w:type="dxa"/>
          </w:tcPr>
          <w:p w14:paraId="4D190801" w14:textId="77777777" w:rsidR="00901842" w:rsidRPr="00FD4244" w:rsidRDefault="00901842" w:rsidP="00901842">
            <w:pPr>
              <w:widowControl w:val="0"/>
              <w:tabs>
                <w:tab w:val="right" w:pos="8550"/>
              </w:tabs>
              <w:autoSpaceDE w:val="0"/>
              <w:autoSpaceDN w:val="0"/>
              <w:spacing w:beforeLines="120" w:before="288" w:after="120"/>
              <w:ind w:left="720" w:right="125" w:hanging="360"/>
              <w:jc w:val="right"/>
              <w:rPr>
                <w:rFonts w:asciiTheme="majorHAnsi" w:hAnsiTheme="majorHAnsi"/>
                <w:i/>
                <w:iCs/>
              </w:rPr>
            </w:pPr>
            <w:r w:rsidRPr="00FD4244">
              <w:rPr>
                <w:rFonts w:asciiTheme="majorHAnsi" w:hAnsiTheme="majorHAnsi"/>
                <w:i/>
                <w:iCs/>
              </w:rPr>
              <w:t>80%</w:t>
            </w:r>
          </w:p>
        </w:tc>
      </w:tr>
      <w:tr w:rsidR="00901842" w:rsidRPr="00FD4244" w14:paraId="7B1AF9B3" w14:textId="77777777" w:rsidTr="008F7C89">
        <w:tc>
          <w:tcPr>
            <w:tcW w:w="5387" w:type="dxa"/>
            <w:shd w:val="clear" w:color="auto" w:fill="DAEEF3" w:themeFill="accent5" w:themeFillTint="33"/>
          </w:tcPr>
          <w:p w14:paraId="5987D71D" w14:textId="77777777" w:rsidR="00901842" w:rsidRPr="00FD4244" w:rsidRDefault="00901842" w:rsidP="00901842">
            <w:pPr>
              <w:widowControl w:val="0"/>
              <w:tabs>
                <w:tab w:val="right" w:pos="8550"/>
              </w:tabs>
              <w:autoSpaceDE w:val="0"/>
              <w:autoSpaceDN w:val="0"/>
              <w:adjustRightInd w:val="0"/>
              <w:spacing w:beforeLines="120" w:before="288" w:after="120"/>
              <w:ind w:left="720" w:right="125" w:hanging="360"/>
              <w:contextualSpacing/>
              <w:jc w:val="both"/>
              <w:rPr>
                <w:rFonts w:asciiTheme="majorHAnsi" w:hAnsiTheme="majorHAnsi"/>
                <w:i/>
                <w:iCs/>
              </w:rPr>
            </w:pPr>
          </w:p>
        </w:tc>
        <w:tc>
          <w:tcPr>
            <w:tcW w:w="3827" w:type="dxa"/>
            <w:shd w:val="clear" w:color="auto" w:fill="DAEEF3" w:themeFill="accent5" w:themeFillTint="33"/>
          </w:tcPr>
          <w:p w14:paraId="4B544655" w14:textId="77777777" w:rsidR="00901842" w:rsidRPr="00FD4244" w:rsidRDefault="00901842" w:rsidP="00901842">
            <w:pPr>
              <w:widowControl w:val="0"/>
              <w:tabs>
                <w:tab w:val="right" w:pos="8550"/>
              </w:tabs>
              <w:autoSpaceDE w:val="0"/>
              <w:autoSpaceDN w:val="0"/>
              <w:spacing w:beforeLines="120" w:before="288" w:after="120"/>
              <w:ind w:left="720" w:right="125" w:hanging="360"/>
              <w:jc w:val="right"/>
              <w:rPr>
                <w:rFonts w:asciiTheme="majorHAnsi" w:hAnsiTheme="majorHAnsi"/>
                <w:i/>
                <w:iCs/>
              </w:rPr>
            </w:pPr>
          </w:p>
        </w:tc>
      </w:tr>
      <w:tr w:rsidR="00901842" w:rsidRPr="00FD4244" w14:paraId="783CE541" w14:textId="77777777" w:rsidTr="008F7C89">
        <w:tc>
          <w:tcPr>
            <w:tcW w:w="5387" w:type="dxa"/>
          </w:tcPr>
          <w:p w14:paraId="54EA4B87" w14:textId="77777777" w:rsidR="00901842" w:rsidRPr="00FD4244" w:rsidRDefault="00901842" w:rsidP="00901842">
            <w:pPr>
              <w:widowControl w:val="0"/>
              <w:tabs>
                <w:tab w:val="right" w:pos="8550"/>
              </w:tabs>
              <w:autoSpaceDE w:val="0"/>
              <w:autoSpaceDN w:val="0"/>
              <w:spacing w:beforeLines="120" w:before="288" w:after="120"/>
              <w:ind w:left="720" w:right="125" w:hanging="360"/>
              <w:jc w:val="both"/>
              <w:rPr>
                <w:rFonts w:asciiTheme="majorHAnsi" w:hAnsiTheme="majorHAnsi"/>
                <w:i/>
                <w:iCs/>
              </w:rPr>
            </w:pPr>
          </w:p>
        </w:tc>
        <w:tc>
          <w:tcPr>
            <w:tcW w:w="3827" w:type="dxa"/>
          </w:tcPr>
          <w:p w14:paraId="3B604B7E" w14:textId="77777777" w:rsidR="00901842" w:rsidRPr="00FD4244" w:rsidRDefault="00901842" w:rsidP="00901842">
            <w:pPr>
              <w:widowControl w:val="0"/>
              <w:tabs>
                <w:tab w:val="right" w:pos="8550"/>
              </w:tabs>
              <w:autoSpaceDE w:val="0"/>
              <w:autoSpaceDN w:val="0"/>
              <w:spacing w:beforeLines="120" w:before="288" w:after="120"/>
              <w:ind w:left="720" w:right="125" w:hanging="360"/>
              <w:jc w:val="right"/>
              <w:rPr>
                <w:rFonts w:asciiTheme="majorHAnsi" w:hAnsiTheme="majorHAnsi"/>
                <w:b/>
                <w:bCs/>
                <w:i/>
                <w:iCs/>
              </w:rPr>
            </w:pPr>
            <w:r w:rsidRPr="00FD4244">
              <w:rPr>
                <w:rFonts w:asciiTheme="majorHAnsi" w:hAnsiTheme="majorHAnsi"/>
                <w:b/>
                <w:bCs/>
                <w:i/>
                <w:iCs/>
              </w:rPr>
              <w:t>Total weight: 100%</w:t>
            </w:r>
          </w:p>
        </w:tc>
      </w:tr>
    </w:tbl>
    <w:p w14:paraId="5333EF90" w14:textId="77777777" w:rsidR="00901842" w:rsidRPr="00FD4244" w:rsidRDefault="00901842" w:rsidP="00901842">
      <w:pPr>
        <w:tabs>
          <w:tab w:val="left" w:pos="720"/>
          <w:tab w:val="left" w:pos="993"/>
          <w:tab w:val="left" w:pos="6480"/>
        </w:tabs>
        <w:spacing w:after="120"/>
        <w:rPr>
          <w:rFonts w:asciiTheme="majorHAnsi" w:hAnsiTheme="majorHAnsi"/>
        </w:rPr>
      </w:pPr>
    </w:p>
    <w:tbl>
      <w:tblPr>
        <w:tblStyle w:val="TableGrid"/>
        <w:tblW w:w="99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ayout w:type="fixed"/>
        <w:tblLook w:val="04A0" w:firstRow="1" w:lastRow="0" w:firstColumn="1" w:lastColumn="0" w:noHBand="0" w:noVBand="1"/>
      </w:tblPr>
      <w:tblGrid>
        <w:gridCol w:w="6102"/>
        <w:gridCol w:w="3828"/>
      </w:tblGrid>
      <w:tr w:rsidR="00901842" w:rsidRPr="00FD4244" w14:paraId="3A48B99A" w14:textId="77777777" w:rsidTr="008F7C89">
        <w:tc>
          <w:tcPr>
            <w:tcW w:w="6101" w:type="dxa"/>
            <w:shd w:val="clear" w:color="auto" w:fill="DAEEF3" w:themeFill="accent5" w:themeFillTint="33"/>
          </w:tcPr>
          <w:p w14:paraId="0A7A5862" w14:textId="77777777" w:rsidR="00901842" w:rsidRPr="00FD4244" w:rsidRDefault="00901842" w:rsidP="00901842">
            <w:pPr>
              <w:pStyle w:val="ListParagraph"/>
              <w:widowControl w:val="0"/>
              <w:numPr>
                <w:ilvl w:val="0"/>
                <w:numId w:val="24"/>
              </w:numPr>
              <w:tabs>
                <w:tab w:val="right" w:pos="7218"/>
              </w:tabs>
              <w:autoSpaceDE w:val="0"/>
              <w:autoSpaceDN w:val="0"/>
              <w:spacing w:after="120"/>
              <w:ind w:right="125"/>
              <w:contextualSpacing w:val="0"/>
              <w:rPr>
                <w:rFonts w:asciiTheme="majorHAnsi" w:hAnsiTheme="majorHAnsi"/>
                <w:lang w:val="en-US"/>
              </w:rPr>
            </w:pPr>
            <w:r w:rsidRPr="00FD4244">
              <w:rPr>
                <w:rFonts w:asciiTheme="majorHAnsi" w:hAnsiTheme="majorHAnsi"/>
                <w:lang w:val="en-US"/>
              </w:rPr>
              <w:t xml:space="preserve">Transfer of knowledge (training) program (relevance of approach and methodology):                            </w:t>
            </w:r>
          </w:p>
        </w:tc>
        <w:tc>
          <w:tcPr>
            <w:tcW w:w="3827" w:type="dxa"/>
            <w:shd w:val="clear" w:color="auto" w:fill="DAEEF3" w:themeFill="accent5" w:themeFillTint="33"/>
          </w:tcPr>
          <w:p w14:paraId="129D5EC0" w14:textId="77777777" w:rsidR="00901842" w:rsidRPr="00FD4244" w:rsidRDefault="00901842" w:rsidP="00901842">
            <w:pPr>
              <w:widowControl w:val="0"/>
              <w:tabs>
                <w:tab w:val="right" w:pos="6120"/>
                <w:tab w:val="right" w:pos="8640"/>
              </w:tabs>
              <w:autoSpaceDE w:val="0"/>
              <w:autoSpaceDN w:val="0"/>
              <w:spacing w:before="120" w:after="120"/>
              <w:ind w:left="720" w:right="125" w:hanging="360"/>
              <w:jc w:val="right"/>
              <w:rPr>
                <w:rFonts w:asciiTheme="majorHAnsi" w:hAnsiTheme="majorHAnsi"/>
              </w:rPr>
            </w:pPr>
            <w:r w:rsidRPr="00FD4244">
              <w:rPr>
                <w:rFonts w:asciiTheme="majorHAnsi" w:hAnsiTheme="majorHAnsi"/>
                <w:lang w:val="en-US"/>
              </w:rPr>
              <w:tab/>
            </w:r>
            <w:r w:rsidRPr="00FD4244">
              <w:rPr>
                <w:rFonts w:asciiTheme="majorHAnsi" w:hAnsiTheme="majorHAnsi"/>
                <w:i/>
                <w:iCs/>
              </w:rPr>
              <w:t xml:space="preserve">5 </w:t>
            </w:r>
          </w:p>
        </w:tc>
      </w:tr>
      <w:tr w:rsidR="00901842" w:rsidRPr="00FD4244" w14:paraId="33B9EF1C" w14:textId="77777777" w:rsidTr="008F7C89">
        <w:tc>
          <w:tcPr>
            <w:tcW w:w="6101" w:type="dxa"/>
            <w:shd w:val="clear" w:color="auto" w:fill="DAEEF3" w:themeFill="accent5" w:themeFillTint="33"/>
          </w:tcPr>
          <w:p w14:paraId="13051839" w14:textId="77777777" w:rsidR="00901842" w:rsidRPr="00FD4244" w:rsidRDefault="00901842" w:rsidP="00901842">
            <w:pPr>
              <w:pStyle w:val="ListParagraph"/>
              <w:widowControl w:val="0"/>
              <w:numPr>
                <w:ilvl w:val="0"/>
                <w:numId w:val="24"/>
              </w:numPr>
              <w:tabs>
                <w:tab w:val="left" w:pos="720"/>
                <w:tab w:val="left" w:pos="993"/>
                <w:tab w:val="left" w:pos="6480"/>
              </w:tabs>
              <w:autoSpaceDE w:val="0"/>
              <w:autoSpaceDN w:val="0"/>
              <w:spacing w:before="120" w:after="120"/>
              <w:ind w:right="125"/>
              <w:contextualSpacing w:val="0"/>
              <w:rPr>
                <w:rFonts w:asciiTheme="majorHAnsi" w:hAnsiTheme="majorHAnsi"/>
                <w:lang w:val="en-US"/>
              </w:rPr>
            </w:pPr>
            <w:r w:rsidRPr="00FD4244">
              <w:rPr>
                <w:rFonts w:asciiTheme="majorHAnsi" w:hAnsiTheme="majorHAnsi"/>
                <w:lang w:val="en-US"/>
              </w:rPr>
              <w:t>International experience in in data management and statistics, survey analysis and reporting of results</w:t>
            </w:r>
          </w:p>
        </w:tc>
        <w:tc>
          <w:tcPr>
            <w:tcW w:w="3827" w:type="dxa"/>
            <w:shd w:val="clear" w:color="auto" w:fill="DAEEF3" w:themeFill="accent5" w:themeFillTint="33"/>
          </w:tcPr>
          <w:p w14:paraId="457EFCED" w14:textId="77777777" w:rsidR="00901842" w:rsidRPr="00FD4244" w:rsidRDefault="00901842" w:rsidP="00901842">
            <w:pPr>
              <w:pStyle w:val="ListParagraph"/>
              <w:widowControl w:val="0"/>
              <w:tabs>
                <w:tab w:val="right" w:pos="8640"/>
              </w:tabs>
              <w:autoSpaceDE w:val="0"/>
              <w:autoSpaceDN w:val="0"/>
              <w:spacing w:before="120" w:after="200"/>
              <w:ind w:left="0" w:right="125" w:hanging="360"/>
              <w:contextualSpacing w:val="0"/>
              <w:jc w:val="right"/>
              <w:rPr>
                <w:rFonts w:asciiTheme="majorHAnsi" w:hAnsiTheme="majorHAnsi"/>
              </w:rPr>
            </w:pPr>
            <w:r w:rsidRPr="00FD4244">
              <w:rPr>
                <w:rFonts w:asciiTheme="majorHAnsi" w:hAnsiTheme="majorHAnsi"/>
              </w:rPr>
              <w:t>5</w:t>
            </w:r>
          </w:p>
        </w:tc>
      </w:tr>
      <w:tr w:rsidR="00901842" w:rsidRPr="00FD4244" w14:paraId="0BF3EB6F" w14:textId="77777777" w:rsidTr="008F7C89">
        <w:tc>
          <w:tcPr>
            <w:tcW w:w="6101" w:type="dxa"/>
            <w:shd w:val="clear" w:color="auto" w:fill="DAEEF3" w:themeFill="accent5" w:themeFillTint="33"/>
          </w:tcPr>
          <w:p w14:paraId="7F16C4EF" w14:textId="77777777" w:rsidR="00901842" w:rsidRPr="00FD4244" w:rsidRDefault="00901842" w:rsidP="00901842">
            <w:pPr>
              <w:widowControl w:val="0"/>
              <w:tabs>
                <w:tab w:val="left" w:pos="720"/>
                <w:tab w:val="left" w:pos="993"/>
                <w:tab w:val="left" w:pos="6480"/>
              </w:tabs>
              <w:autoSpaceDE w:val="0"/>
              <w:autoSpaceDN w:val="0"/>
              <w:spacing w:before="120" w:after="120"/>
              <w:ind w:left="720" w:right="125" w:hanging="360"/>
              <w:jc w:val="both"/>
              <w:rPr>
                <w:rFonts w:asciiTheme="majorHAnsi" w:hAnsiTheme="majorHAnsi"/>
                <w:lang w:val="en-US"/>
              </w:rPr>
            </w:pPr>
            <w:r w:rsidRPr="00FD4244">
              <w:rPr>
                <w:rFonts w:asciiTheme="majorHAnsi" w:hAnsiTheme="majorHAnsi"/>
                <w:b/>
                <w:lang w:val="en-US"/>
              </w:rPr>
              <w:t>Total points for the five criteria</w:t>
            </w:r>
            <w:r w:rsidRPr="00FD4244">
              <w:rPr>
                <w:rFonts w:asciiTheme="majorHAnsi" w:hAnsiTheme="majorHAnsi"/>
                <w:b/>
                <w:i/>
                <w:lang w:val="en-US"/>
              </w:rPr>
              <w:t>:</w:t>
            </w:r>
          </w:p>
        </w:tc>
        <w:tc>
          <w:tcPr>
            <w:tcW w:w="3827" w:type="dxa"/>
            <w:shd w:val="clear" w:color="auto" w:fill="DAEEF3" w:themeFill="accent5" w:themeFillTint="33"/>
          </w:tcPr>
          <w:p w14:paraId="278DF4C5" w14:textId="77777777" w:rsidR="00901842" w:rsidRPr="00FD4244" w:rsidRDefault="00901842" w:rsidP="00901842">
            <w:pPr>
              <w:pStyle w:val="ListParagraph"/>
              <w:widowControl w:val="0"/>
              <w:tabs>
                <w:tab w:val="right" w:pos="8640"/>
              </w:tabs>
              <w:autoSpaceDE w:val="0"/>
              <w:autoSpaceDN w:val="0"/>
              <w:spacing w:before="120" w:after="200"/>
              <w:ind w:left="0" w:right="125" w:hanging="360"/>
              <w:contextualSpacing w:val="0"/>
              <w:jc w:val="right"/>
              <w:rPr>
                <w:rFonts w:asciiTheme="majorHAnsi" w:hAnsiTheme="majorHAnsi"/>
                <w:b/>
                <w:bCs/>
              </w:rPr>
            </w:pPr>
            <w:r w:rsidRPr="00FD4244">
              <w:rPr>
                <w:rFonts w:asciiTheme="majorHAnsi" w:hAnsiTheme="majorHAnsi"/>
                <w:b/>
                <w:bCs/>
              </w:rPr>
              <w:t>100</w:t>
            </w:r>
          </w:p>
        </w:tc>
      </w:tr>
    </w:tbl>
    <w:p w14:paraId="279BA7D7" w14:textId="77777777" w:rsidR="00901842" w:rsidRPr="00FD4244" w:rsidRDefault="00901842" w:rsidP="00901842">
      <w:pPr>
        <w:rPr>
          <w:rFonts w:asciiTheme="majorHAnsi" w:hAnsiTheme="majorHAnsi"/>
        </w:rPr>
      </w:pPr>
      <w:r w:rsidRPr="00FD4244">
        <w:rPr>
          <w:rFonts w:asciiTheme="majorHAnsi" w:hAnsiTheme="majorHAnsi"/>
        </w:rPr>
        <w:t xml:space="preserve"> </w:t>
      </w:r>
    </w:p>
    <w:p w14:paraId="1982A485" w14:textId="77777777" w:rsidR="00901842" w:rsidRPr="00FD4244" w:rsidRDefault="00901842" w:rsidP="00901842">
      <w:pPr>
        <w:spacing w:after="60"/>
        <w:rPr>
          <w:rFonts w:asciiTheme="majorHAnsi" w:hAnsiTheme="majorHAnsi"/>
          <w:lang w:val="en-US"/>
        </w:rPr>
      </w:pPr>
      <w:r w:rsidRPr="00FD4244">
        <w:rPr>
          <w:rFonts w:asciiTheme="majorHAnsi" w:hAnsiTheme="majorHAnsi"/>
          <w:lang w:val="en-US"/>
        </w:rPr>
        <w:t>The payment schedule is the following:</w:t>
      </w:r>
    </w:p>
    <w:tbl>
      <w:tblPr>
        <w:tblStyle w:val="TableGrid"/>
        <w:tblW w:w="0" w:type="auto"/>
        <w:tblLook w:val="04A0" w:firstRow="1" w:lastRow="0" w:firstColumn="1" w:lastColumn="0" w:noHBand="0" w:noVBand="1"/>
      </w:tblPr>
      <w:tblGrid>
        <w:gridCol w:w="5353"/>
        <w:gridCol w:w="1307"/>
      </w:tblGrid>
      <w:tr w:rsidR="00901842" w:rsidRPr="00FD4244" w14:paraId="599FDA39" w14:textId="77777777" w:rsidTr="008F7C89">
        <w:tc>
          <w:tcPr>
            <w:tcW w:w="5353" w:type="dxa"/>
            <w:shd w:val="clear" w:color="auto" w:fill="808080" w:themeFill="background1" w:themeFillShade="80"/>
          </w:tcPr>
          <w:p w14:paraId="43EE4BBF" w14:textId="77777777" w:rsidR="00901842" w:rsidRPr="00FD4244" w:rsidRDefault="00901842" w:rsidP="00901842">
            <w:pPr>
              <w:widowControl w:val="0"/>
              <w:autoSpaceDE w:val="0"/>
              <w:autoSpaceDN w:val="0"/>
              <w:spacing w:after="120"/>
              <w:ind w:left="720" w:right="125" w:hanging="360"/>
              <w:jc w:val="both"/>
              <w:rPr>
                <w:rFonts w:asciiTheme="majorHAnsi" w:hAnsiTheme="majorHAnsi"/>
                <w:b/>
              </w:rPr>
            </w:pPr>
            <w:r w:rsidRPr="00FD4244">
              <w:rPr>
                <w:rFonts w:asciiTheme="majorHAnsi" w:hAnsiTheme="majorHAnsi"/>
                <w:b/>
              </w:rPr>
              <w:t>Deliverables:</w:t>
            </w:r>
          </w:p>
        </w:tc>
        <w:tc>
          <w:tcPr>
            <w:tcW w:w="894" w:type="dxa"/>
            <w:shd w:val="clear" w:color="auto" w:fill="808080" w:themeFill="background1" w:themeFillShade="80"/>
          </w:tcPr>
          <w:p w14:paraId="27DCB887" w14:textId="77777777" w:rsidR="00901842" w:rsidRPr="00FD4244" w:rsidRDefault="00901842" w:rsidP="00901842">
            <w:pPr>
              <w:widowControl w:val="0"/>
              <w:autoSpaceDE w:val="0"/>
              <w:autoSpaceDN w:val="0"/>
              <w:spacing w:after="120"/>
              <w:ind w:left="720" w:right="125" w:hanging="360"/>
              <w:jc w:val="center"/>
              <w:rPr>
                <w:rFonts w:asciiTheme="majorHAnsi" w:hAnsiTheme="majorHAnsi"/>
                <w:b/>
              </w:rPr>
            </w:pPr>
            <w:r w:rsidRPr="00FD4244">
              <w:rPr>
                <w:rFonts w:asciiTheme="majorHAnsi" w:hAnsiTheme="majorHAnsi"/>
                <w:b/>
              </w:rPr>
              <w:t>%</w:t>
            </w:r>
          </w:p>
        </w:tc>
      </w:tr>
      <w:tr w:rsidR="00901842" w:rsidRPr="00FD4244" w14:paraId="28696987" w14:textId="77777777" w:rsidTr="008F7C89">
        <w:tc>
          <w:tcPr>
            <w:tcW w:w="5353" w:type="dxa"/>
          </w:tcPr>
          <w:p w14:paraId="6483ABF9" w14:textId="77777777" w:rsidR="00901842" w:rsidRPr="00FD4244" w:rsidRDefault="00901842" w:rsidP="00901842">
            <w:pPr>
              <w:pStyle w:val="ListParagraph"/>
              <w:widowControl w:val="0"/>
              <w:numPr>
                <w:ilvl w:val="0"/>
                <w:numId w:val="27"/>
              </w:numPr>
              <w:autoSpaceDE w:val="0"/>
              <w:autoSpaceDN w:val="0"/>
              <w:spacing w:after="120"/>
              <w:ind w:right="125"/>
              <w:contextualSpacing w:val="0"/>
              <w:jc w:val="both"/>
              <w:rPr>
                <w:rFonts w:asciiTheme="majorHAnsi" w:hAnsiTheme="majorHAnsi"/>
                <w:lang w:val="en-US"/>
              </w:rPr>
            </w:pPr>
            <w:r w:rsidRPr="00FD4244">
              <w:rPr>
                <w:rFonts w:asciiTheme="majorHAnsi" w:hAnsiTheme="majorHAnsi"/>
                <w:lang w:val="en-US"/>
              </w:rPr>
              <w:t>Methodology, Questionnaire and Interview Guides are approved by the Client</w:t>
            </w:r>
          </w:p>
        </w:tc>
        <w:tc>
          <w:tcPr>
            <w:tcW w:w="894" w:type="dxa"/>
          </w:tcPr>
          <w:p w14:paraId="2A69658C" w14:textId="77777777" w:rsidR="00901842" w:rsidRPr="00FD4244" w:rsidRDefault="00901842" w:rsidP="00901842">
            <w:pPr>
              <w:widowControl w:val="0"/>
              <w:autoSpaceDE w:val="0"/>
              <w:autoSpaceDN w:val="0"/>
              <w:spacing w:after="120"/>
              <w:ind w:left="720" w:right="125" w:hanging="360"/>
              <w:jc w:val="center"/>
              <w:rPr>
                <w:rFonts w:asciiTheme="majorHAnsi" w:hAnsiTheme="majorHAnsi"/>
              </w:rPr>
            </w:pPr>
            <w:r w:rsidRPr="00FD4244">
              <w:rPr>
                <w:rFonts w:asciiTheme="majorHAnsi" w:hAnsiTheme="majorHAnsi"/>
              </w:rPr>
              <w:t>20%</w:t>
            </w:r>
          </w:p>
        </w:tc>
      </w:tr>
      <w:tr w:rsidR="00901842" w:rsidRPr="00FD4244" w14:paraId="4F23E3EE" w14:textId="77777777" w:rsidTr="008F7C89">
        <w:tc>
          <w:tcPr>
            <w:tcW w:w="5353" w:type="dxa"/>
          </w:tcPr>
          <w:p w14:paraId="6F022653" w14:textId="77777777" w:rsidR="00901842" w:rsidRPr="00FD4244" w:rsidRDefault="00901842" w:rsidP="00901842">
            <w:pPr>
              <w:pStyle w:val="ListParagraph"/>
              <w:widowControl w:val="0"/>
              <w:numPr>
                <w:ilvl w:val="0"/>
                <w:numId w:val="27"/>
              </w:numPr>
              <w:autoSpaceDE w:val="0"/>
              <w:autoSpaceDN w:val="0"/>
              <w:spacing w:after="120"/>
              <w:ind w:right="125"/>
              <w:contextualSpacing w:val="0"/>
              <w:jc w:val="both"/>
              <w:rPr>
                <w:rFonts w:asciiTheme="majorHAnsi" w:hAnsiTheme="majorHAnsi"/>
              </w:rPr>
            </w:pPr>
            <w:r w:rsidRPr="00FD4244">
              <w:rPr>
                <w:rFonts w:asciiTheme="majorHAnsi" w:hAnsiTheme="majorHAnsi"/>
              </w:rPr>
              <w:t>Submission of Draft Report</w:t>
            </w:r>
          </w:p>
        </w:tc>
        <w:tc>
          <w:tcPr>
            <w:tcW w:w="894" w:type="dxa"/>
          </w:tcPr>
          <w:p w14:paraId="40852687" w14:textId="77777777" w:rsidR="00901842" w:rsidRPr="00FD4244" w:rsidRDefault="00901842" w:rsidP="00901842">
            <w:pPr>
              <w:widowControl w:val="0"/>
              <w:autoSpaceDE w:val="0"/>
              <w:autoSpaceDN w:val="0"/>
              <w:spacing w:after="120"/>
              <w:ind w:left="720" w:right="125" w:hanging="360"/>
              <w:jc w:val="center"/>
              <w:rPr>
                <w:rFonts w:asciiTheme="majorHAnsi" w:hAnsiTheme="majorHAnsi"/>
              </w:rPr>
            </w:pPr>
            <w:r w:rsidRPr="00FD4244">
              <w:rPr>
                <w:rFonts w:asciiTheme="majorHAnsi" w:hAnsiTheme="majorHAnsi"/>
              </w:rPr>
              <w:t>30%</w:t>
            </w:r>
          </w:p>
        </w:tc>
      </w:tr>
      <w:tr w:rsidR="00901842" w:rsidRPr="00FD4244" w14:paraId="31939CDB" w14:textId="77777777" w:rsidTr="008F7C89">
        <w:tc>
          <w:tcPr>
            <w:tcW w:w="5353" w:type="dxa"/>
          </w:tcPr>
          <w:p w14:paraId="2EEC07F7" w14:textId="77777777" w:rsidR="00901842" w:rsidRPr="00FD4244" w:rsidRDefault="00901842" w:rsidP="00901842">
            <w:pPr>
              <w:pStyle w:val="ListParagraph"/>
              <w:widowControl w:val="0"/>
              <w:numPr>
                <w:ilvl w:val="0"/>
                <w:numId w:val="27"/>
              </w:numPr>
              <w:autoSpaceDE w:val="0"/>
              <w:autoSpaceDN w:val="0"/>
              <w:spacing w:after="120"/>
              <w:ind w:right="125"/>
              <w:contextualSpacing w:val="0"/>
              <w:jc w:val="both"/>
              <w:rPr>
                <w:rFonts w:asciiTheme="majorHAnsi" w:hAnsiTheme="majorHAnsi"/>
                <w:lang w:val="en-US"/>
              </w:rPr>
            </w:pPr>
            <w:r w:rsidRPr="00FD4244">
              <w:rPr>
                <w:rFonts w:asciiTheme="majorHAnsi" w:hAnsiTheme="majorHAnsi"/>
                <w:lang w:val="en-US"/>
              </w:rPr>
              <w:t>Approval of the Final Report by the Client</w:t>
            </w:r>
          </w:p>
        </w:tc>
        <w:tc>
          <w:tcPr>
            <w:tcW w:w="894" w:type="dxa"/>
          </w:tcPr>
          <w:p w14:paraId="2FFA54CA" w14:textId="77777777" w:rsidR="00901842" w:rsidRPr="00FD4244" w:rsidRDefault="00901842" w:rsidP="00901842">
            <w:pPr>
              <w:widowControl w:val="0"/>
              <w:autoSpaceDE w:val="0"/>
              <w:autoSpaceDN w:val="0"/>
              <w:spacing w:after="120"/>
              <w:ind w:left="720" w:right="125" w:hanging="360"/>
              <w:jc w:val="center"/>
              <w:rPr>
                <w:rFonts w:asciiTheme="majorHAnsi" w:hAnsiTheme="majorHAnsi"/>
              </w:rPr>
            </w:pPr>
            <w:r w:rsidRPr="00FD4244">
              <w:rPr>
                <w:rFonts w:asciiTheme="majorHAnsi" w:hAnsiTheme="majorHAnsi"/>
              </w:rPr>
              <w:t>50%</w:t>
            </w:r>
          </w:p>
        </w:tc>
      </w:tr>
      <w:tr w:rsidR="00901842" w:rsidRPr="00FD4244" w14:paraId="4138527B" w14:textId="77777777" w:rsidTr="008F7C89">
        <w:tc>
          <w:tcPr>
            <w:tcW w:w="5353" w:type="dxa"/>
          </w:tcPr>
          <w:p w14:paraId="06F53E60" w14:textId="77777777" w:rsidR="00901842" w:rsidRPr="00FD4244" w:rsidRDefault="00901842" w:rsidP="00901842">
            <w:pPr>
              <w:widowControl w:val="0"/>
              <w:autoSpaceDE w:val="0"/>
              <w:autoSpaceDN w:val="0"/>
              <w:spacing w:after="120"/>
              <w:ind w:left="720" w:right="125" w:hanging="360"/>
              <w:jc w:val="both"/>
              <w:rPr>
                <w:rFonts w:asciiTheme="majorHAnsi" w:hAnsiTheme="majorHAnsi"/>
                <w:b/>
              </w:rPr>
            </w:pPr>
            <w:r w:rsidRPr="00FD4244">
              <w:rPr>
                <w:rFonts w:asciiTheme="majorHAnsi" w:hAnsiTheme="majorHAnsi"/>
                <w:b/>
              </w:rPr>
              <w:t>Total:</w:t>
            </w:r>
          </w:p>
        </w:tc>
        <w:tc>
          <w:tcPr>
            <w:tcW w:w="894" w:type="dxa"/>
          </w:tcPr>
          <w:p w14:paraId="0966A0ED" w14:textId="77777777" w:rsidR="00901842" w:rsidRPr="00FD4244" w:rsidRDefault="00901842" w:rsidP="00901842">
            <w:pPr>
              <w:widowControl w:val="0"/>
              <w:autoSpaceDE w:val="0"/>
              <w:autoSpaceDN w:val="0"/>
              <w:spacing w:after="120"/>
              <w:ind w:left="720" w:right="125" w:hanging="360"/>
              <w:jc w:val="center"/>
              <w:rPr>
                <w:rFonts w:asciiTheme="majorHAnsi" w:hAnsiTheme="majorHAnsi"/>
                <w:b/>
              </w:rPr>
            </w:pPr>
            <w:r w:rsidRPr="00FD4244">
              <w:rPr>
                <w:rFonts w:asciiTheme="majorHAnsi" w:hAnsiTheme="majorHAnsi"/>
                <w:b/>
              </w:rPr>
              <w:t>100%</w:t>
            </w:r>
          </w:p>
        </w:tc>
      </w:tr>
    </w:tbl>
    <w:p w14:paraId="28C0FCDF" w14:textId="77777777" w:rsidR="00901842" w:rsidRPr="00FD4244" w:rsidRDefault="00901842" w:rsidP="00901842">
      <w:pPr>
        <w:rPr>
          <w:rFonts w:asciiTheme="majorHAnsi" w:hAnsiTheme="majorHAnsi"/>
        </w:rPr>
      </w:pPr>
    </w:p>
    <w:p w14:paraId="0EB1B5BB" w14:textId="77777777" w:rsidR="00901842" w:rsidRPr="00FD4244" w:rsidRDefault="00901842" w:rsidP="00901842">
      <w:pPr>
        <w:spacing w:after="240"/>
        <w:rPr>
          <w:rFonts w:asciiTheme="majorHAnsi" w:hAnsiTheme="majorHAnsi"/>
          <w:lang w:val="en-US"/>
        </w:rPr>
      </w:pPr>
      <w:r w:rsidRPr="00FD4244">
        <w:rPr>
          <w:rFonts w:asciiTheme="majorHAnsi" w:hAnsiTheme="majorHAnsi"/>
          <w:lang w:val="en-US"/>
        </w:rPr>
        <w:lastRenderedPageBreak/>
        <w:t>The payment will be done in Moldovan lei according to the National Bank’s exchanges rate on the day of payment.</w:t>
      </w:r>
    </w:p>
    <w:p w14:paraId="52957BAF" w14:textId="77777777" w:rsidR="00901842" w:rsidRPr="00FD4244" w:rsidRDefault="00901842" w:rsidP="00901842">
      <w:pPr>
        <w:rPr>
          <w:rFonts w:asciiTheme="majorHAnsi" w:hAnsiTheme="majorHAnsi"/>
          <w:b/>
          <w:lang w:val="en-US"/>
        </w:rPr>
      </w:pPr>
      <w:r w:rsidRPr="00FD4244">
        <w:rPr>
          <w:rFonts w:asciiTheme="majorHAnsi" w:hAnsiTheme="majorHAnsi"/>
          <w:lang w:val="en-US"/>
        </w:rPr>
        <w:t xml:space="preserve">1. </w:t>
      </w:r>
      <w:r w:rsidRPr="00FD4244">
        <w:rPr>
          <w:rFonts w:asciiTheme="majorHAnsi" w:hAnsiTheme="majorHAnsi"/>
          <w:b/>
          <w:lang w:val="en-US"/>
        </w:rPr>
        <w:t>Additional information</w:t>
      </w:r>
    </w:p>
    <w:p w14:paraId="4BB6BD9E" w14:textId="77777777" w:rsidR="00901842" w:rsidRPr="00FD4244" w:rsidRDefault="00901842" w:rsidP="00901842">
      <w:pPr>
        <w:spacing w:before="120"/>
        <w:rPr>
          <w:rFonts w:asciiTheme="majorHAnsi" w:hAnsiTheme="majorHAnsi"/>
          <w:lang w:val="en-US"/>
        </w:rPr>
      </w:pPr>
      <w:r w:rsidRPr="00FD4244">
        <w:rPr>
          <w:rFonts w:asciiTheme="majorHAnsi" w:hAnsiTheme="majorHAnsi"/>
          <w:lang w:val="en-US"/>
        </w:rPr>
        <w:t xml:space="preserve">The CPIU-IFAD is entitled to cancel the tender at any stage of the competition due to the impossibility of financial coverage or due to unconformity of the tenderers to the requirements specified in the tender documents or other justified reason. </w:t>
      </w:r>
    </w:p>
    <w:p w14:paraId="3C953675" w14:textId="77777777" w:rsidR="00901842" w:rsidRPr="00FD4244" w:rsidRDefault="00901842" w:rsidP="00901842">
      <w:pPr>
        <w:rPr>
          <w:rFonts w:asciiTheme="majorHAnsi" w:hAnsiTheme="majorHAnsi"/>
          <w:sz w:val="20"/>
          <w:szCs w:val="20"/>
          <w:lang w:val="en-US"/>
        </w:rPr>
      </w:pPr>
    </w:p>
    <w:p w14:paraId="4356FB19" w14:textId="77777777" w:rsidR="00901842" w:rsidRPr="00FD4244" w:rsidRDefault="00901842" w:rsidP="00901842">
      <w:pPr>
        <w:rPr>
          <w:rFonts w:asciiTheme="majorHAnsi" w:hAnsiTheme="majorHAnsi"/>
          <w:sz w:val="20"/>
          <w:szCs w:val="20"/>
          <w:lang w:val="en-US"/>
        </w:rPr>
      </w:pPr>
    </w:p>
    <w:p w14:paraId="7AEBCAB1" w14:textId="77777777" w:rsidR="00901842" w:rsidRPr="00FD4244" w:rsidRDefault="00901842" w:rsidP="00901842">
      <w:pPr>
        <w:rPr>
          <w:rFonts w:asciiTheme="majorHAnsi" w:hAnsiTheme="majorHAnsi"/>
          <w:sz w:val="20"/>
          <w:szCs w:val="20"/>
          <w:lang w:val="en-US"/>
        </w:rPr>
      </w:pPr>
    </w:p>
    <w:p w14:paraId="42CBD59F" w14:textId="77777777" w:rsidR="00901842" w:rsidRPr="00FD4244" w:rsidRDefault="00901842" w:rsidP="00901842">
      <w:pPr>
        <w:rPr>
          <w:rFonts w:asciiTheme="majorHAnsi" w:hAnsiTheme="majorHAnsi"/>
          <w:sz w:val="20"/>
          <w:szCs w:val="20"/>
          <w:lang w:val="en-US"/>
        </w:rPr>
      </w:pPr>
    </w:p>
    <w:p w14:paraId="20CF0F34" w14:textId="77777777" w:rsidR="00901842" w:rsidRPr="00FD4244" w:rsidRDefault="00901842" w:rsidP="00901842">
      <w:pPr>
        <w:rPr>
          <w:rFonts w:asciiTheme="majorHAnsi" w:hAnsiTheme="majorHAnsi"/>
          <w:sz w:val="20"/>
          <w:szCs w:val="20"/>
          <w:lang w:val="en-US"/>
        </w:rPr>
      </w:pPr>
    </w:p>
    <w:p w14:paraId="6E1DBA80" w14:textId="5A1F3F78" w:rsidR="00380351" w:rsidRPr="00FD4244" w:rsidRDefault="00380351" w:rsidP="00B86699">
      <w:pPr>
        <w:pStyle w:val="Outline2"/>
        <w:tabs>
          <w:tab w:val="left" w:pos="-2880"/>
        </w:tabs>
        <w:spacing w:before="120"/>
        <w:ind w:left="0" w:firstLine="0"/>
        <w:jc w:val="both"/>
        <w:rPr>
          <w:rFonts w:asciiTheme="majorHAnsi" w:hAnsiTheme="majorHAnsi" w:cs="Arial"/>
          <w:i/>
          <w:iCs/>
          <w:color w:val="365F91" w:themeColor="accent1" w:themeShade="BF"/>
          <w:lang w:val="en-US"/>
        </w:rPr>
      </w:pPr>
    </w:p>
    <w:sectPr w:rsidR="00380351" w:rsidRPr="00FD4244" w:rsidSect="00CF48A0">
      <w:footerReference w:type="default" r:id="rId9"/>
      <w:pgSz w:w="12240" w:h="15840"/>
      <w:pgMar w:top="1134" w:right="850" w:bottom="1530" w:left="1701"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B3AD0" w14:textId="77777777" w:rsidR="008C48B8" w:rsidRDefault="008C48B8" w:rsidP="0065660C">
      <w:pPr>
        <w:spacing w:after="0" w:line="240" w:lineRule="auto"/>
      </w:pPr>
      <w:r>
        <w:separator/>
      </w:r>
    </w:p>
  </w:endnote>
  <w:endnote w:type="continuationSeparator" w:id="0">
    <w:p w14:paraId="601A04C1" w14:textId="77777777" w:rsidR="008C48B8" w:rsidRDefault="008C48B8" w:rsidP="0065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6E26" w14:textId="49BB47EE" w:rsidR="004B604A" w:rsidRPr="00901842" w:rsidRDefault="00901842" w:rsidP="006A0B6A">
    <w:pPr>
      <w:pStyle w:val="Footer"/>
      <w:rPr>
        <w:sz w:val="20"/>
        <w:szCs w:val="20"/>
        <w:lang w:val="en-US"/>
      </w:rPr>
    </w:pPr>
    <w:r w:rsidRPr="00901842">
      <w:rPr>
        <w:sz w:val="20"/>
        <w:szCs w:val="20"/>
        <w:lang w:val="en-US"/>
      </w:rPr>
      <w:t>Talent Retention for Rural Transformation Project</w:t>
    </w:r>
    <w:r w:rsidR="004B604A" w:rsidRPr="00901842">
      <w:rPr>
        <w:sz w:val="20"/>
        <w:szCs w:val="20"/>
        <w:lang w:val="en-US"/>
      </w:rPr>
      <w:t xml:space="preserve"> (TRTP) </w:t>
    </w:r>
  </w:p>
  <w:p w14:paraId="163614B4" w14:textId="77777777" w:rsidR="00901842" w:rsidRDefault="00901842" w:rsidP="006A0B6A">
    <w:pPr>
      <w:pStyle w:val="Footer"/>
      <w:rPr>
        <w:rFonts w:cstheme="minorHAnsi"/>
        <w:sz w:val="20"/>
        <w:szCs w:val="20"/>
        <w:lang w:val="en-US"/>
      </w:rPr>
    </w:pPr>
    <w:r w:rsidRPr="00901842">
      <w:rPr>
        <w:rFonts w:cstheme="minorHAnsi"/>
        <w:sz w:val="20"/>
        <w:szCs w:val="20"/>
        <w:lang w:val="en-US"/>
      </w:rPr>
      <w:t>Selection of Potential Value Chains and Value Chain Analysis (VCA)</w:t>
    </w:r>
  </w:p>
  <w:p w14:paraId="2836A189" w14:textId="6B3E9E4C" w:rsidR="004B604A" w:rsidRPr="00901842" w:rsidRDefault="004B604A" w:rsidP="006A0B6A">
    <w:pPr>
      <w:pStyle w:val="Footer"/>
      <w:rPr>
        <w:sz w:val="20"/>
        <w:szCs w:val="20"/>
        <w:lang w:val="en-US"/>
      </w:rPr>
    </w:pPr>
    <w:r w:rsidRPr="00901842">
      <w:rPr>
        <w:sz w:val="20"/>
        <w:szCs w:val="20"/>
        <w:lang w:val="en-US"/>
      </w:rPr>
      <w:t>Ref. N</w:t>
    </w:r>
    <w:r w:rsidR="00080E63" w:rsidRPr="00901842">
      <w:rPr>
        <w:sz w:val="20"/>
        <w:szCs w:val="20"/>
        <w:lang w:val="en-US"/>
      </w:rPr>
      <w:t>o</w:t>
    </w:r>
    <w:r w:rsidRPr="00901842">
      <w:rPr>
        <w:sz w:val="20"/>
        <w:szCs w:val="20"/>
        <w:lang w:val="en-US"/>
      </w:rPr>
      <w:t>.</w:t>
    </w:r>
    <w:r w:rsidRPr="00901842">
      <w:rPr>
        <w:color w:val="FF0000"/>
        <w:sz w:val="20"/>
        <w:szCs w:val="20"/>
        <w:lang w:val="en-US"/>
      </w:rPr>
      <w:t xml:space="preserve">: </w:t>
    </w:r>
    <w:r w:rsidR="00C41EFF">
      <w:rPr>
        <w:color w:val="FF0000"/>
        <w:sz w:val="20"/>
        <w:szCs w:val="20"/>
        <w:lang w:val="en-US"/>
      </w:rPr>
      <w:t>42</w:t>
    </w:r>
    <w:r w:rsidR="00080E63" w:rsidRPr="00901842">
      <w:rPr>
        <w:color w:val="FF0000"/>
        <w:sz w:val="20"/>
        <w:szCs w:val="20"/>
        <w:lang w:val="en-US"/>
      </w:rPr>
      <w:t>/2</w:t>
    </w:r>
    <w:r w:rsidR="00B24296" w:rsidRPr="00901842">
      <w:rPr>
        <w:color w:val="FF0000"/>
        <w:sz w:val="20"/>
        <w:szCs w:val="20"/>
        <w:lang w:val="en-US"/>
      </w:rPr>
      <w:t>4</w:t>
    </w:r>
    <w:r w:rsidR="00080E63" w:rsidRPr="00901842">
      <w:rPr>
        <w:color w:val="FF0000"/>
        <w:sz w:val="20"/>
        <w:szCs w:val="20"/>
        <w:lang w:val="en-US"/>
      </w:rPr>
      <w:t xml:space="preserve"> TRTP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74065" w14:textId="77777777" w:rsidR="008C48B8" w:rsidRDefault="008C48B8" w:rsidP="0065660C">
      <w:pPr>
        <w:spacing w:after="0" w:line="240" w:lineRule="auto"/>
      </w:pPr>
      <w:r>
        <w:separator/>
      </w:r>
    </w:p>
  </w:footnote>
  <w:footnote w:type="continuationSeparator" w:id="0">
    <w:p w14:paraId="202A1715" w14:textId="77777777" w:rsidR="008C48B8" w:rsidRDefault="008C48B8" w:rsidP="0065660C">
      <w:pPr>
        <w:spacing w:after="0" w:line="240" w:lineRule="auto"/>
      </w:pPr>
      <w:r>
        <w:continuationSeparator/>
      </w:r>
    </w:p>
  </w:footnote>
  <w:footnote w:id="1">
    <w:p w14:paraId="4286FA95" w14:textId="77777777" w:rsidR="00901842" w:rsidRPr="00E72E95" w:rsidRDefault="00901842" w:rsidP="00901842">
      <w:pPr>
        <w:pStyle w:val="FootnoteText"/>
        <w:rPr>
          <w:sz w:val="16"/>
          <w:szCs w:val="16"/>
        </w:rPr>
      </w:pPr>
      <w:r w:rsidRPr="004844C8">
        <w:rPr>
          <w:rStyle w:val="FootnoteReference"/>
        </w:rPr>
        <w:footnoteRef/>
      </w:r>
      <w:r w:rsidRPr="00E72E95">
        <w:rPr>
          <w:sz w:val="16"/>
          <w:szCs w:val="16"/>
        </w:rPr>
        <w:t xml:space="preserve"> While it is agreed to consider the Family Farming concept up to 70ha holding and commercial farming, IFAD’s mandate is also about small scale farmers which are encompassed within the 70ha land usage.</w:t>
      </w:r>
    </w:p>
  </w:footnote>
  <w:footnote w:id="2">
    <w:p w14:paraId="4F4804EA" w14:textId="77777777" w:rsidR="00901842" w:rsidRPr="00E72E95" w:rsidRDefault="00901842" w:rsidP="00901842">
      <w:pPr>
        <w:pStyle w:val="pf0"/>
        <w:rPr>
          <w:rFonts w:ascii="Verdana" w:hAnsi="Verdana" w:cs="Arial"/>
          <w:sz w:val="16"/>
          <w:szCs w:val="16"/>
        </w:rPr>
      </w:pPr>
      <w:r w:rsidRPr="00E72E95">
        <w:rPr>
          <w:rStyle w:val="FootnoteReference"/>
          <w:rFonts w:ascii="Verdana" w:hAnsi="Verdana"/>
        </w:rPr>
        <w:footnoteRef/>
      </w:r>
      <w:r w:rsidRPr="00E72E95">
        <w:rPr>
          <w:rFonts w:ascii="Verdana" w:hAnsi="Verdana"/>
          <w:sz w:val="16"/>
          <w:szCs w:val="16"/>
        </w:rPr>
        <w:t xml:space="preserve"> </w:t>
      </w:r>
      <w:r w:rsidRPr="00E72E95">
        <w:rPr>
          <w:rStyle w:val="cf01"/>
          <w:rFonts w:ascii="Verdana" w:hAnsi="Verdana"/>
          <w:sz w:val="16"/>
          <w:szCs w:val="16"/>
        </w:rPr>
        <w:t xml:space="preserve">Contribute essential nutrients such as vitamins and minerals (micronutrients), fiber and other components to healthy diets that are beneficial for growth, and health and development, guarding against malnutrition (FAO, IFAD, UNICEF, WFP and WHO. 2022. The State of Food Security and Nutrition in the World 2022. Repurposing food and agricultural policies to make healthy diets more affordable. Rome, FAO. </w:t>
      </w:r>
    </w:p>
    <w:p w14:paraId="18F1563C" w14:textId="77777777" w:rsidR="00901842" w:rsidRDefault="00901842" w:rsidP="00901842">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E15"/>
    <w:multiLevelType w:val="multilevel"/>
    <w:tmpl w:val="05484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5E0C85"/>
    <w:multiLevelType w:val="hybridMultilevel"/>
    <w:tmpl w:val="E92A81CE"/>
    <w:lvl w:ilvl="0" w:tplc="E878D6D2">
      <w:numFmt w:val="bullet"/>
      <w:lvlText w:val="-"/>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621B08"/>
    <w:multiLevelType w:val="hybridMultilevel"/>
    <w:tmpl w:val="DE4451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0374EB"/>
    <w:multiLevelType w:val="multilevel"/>
    <w:tmpl w:val="090374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22392"/>
    <w:multiLevelType w:val="hybridMultilevel"/>
    <w:tmpl w:val="C082D3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FAC768A"/>
    <w:multiLevelType w:val="multilevel"/>
    <w:tmpl w:val="0FAC7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A12299"/>
    <w:multiLevelType w:val="hybridMultilevel"/>
    <w:tmpl w:val="1D0820E8"/>
    <w:lvl w:ilvl="0" w:tplc="3D204E50">
      <w:start w:val="1"/>
      <w:numFmt w:val="bullet"/>
      <w:lvlText w:val="-"/>
      <w:lvlJc w:val="left"/>
      <w:pPr>
        <w:ind w:left="1080" w:hanging="360"/>
      </w:pPr>
      <w:rPr>
        <w:rFonts w:ascii="Cambria" w:eastAsia="Calibri" w:hAnsi="Cambria" w:cs="Calibri" w:hint="default"/>
        <w:sz w:val="24"/>
        <w:szCs w:val="24"/>
      </w:rPr>
    </w:lvl>
    <w:lvl w:ilvl="1" w:tplc="0418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4083B9B"/>
    <w:multiLevelType w:val="multilevel"/>
    <w:tmpl w:val="14083B9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873B30"/>
    <w:multiLevelType w:val="hybridMultilevel"/>
    <w:tmpl w:val="23409666"/>
    <w:lvl w:ilvl="0" w:tplc="04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DFD3BE9"/>
    <w:multiLevelType w:val="multilevel"/>
    <w:tmpl w:val="461AE1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17C485C"/>
    <w:multiLevelType w:val="multilevel"/>
    <w:tmpl w:val="217C485C"/>
    <w:lvl w:ilvl="0">
      <w:start w:val="1"/>
      <w:numFmt w:val="decimal"/>
      <w:pStyle w:val="Heading1"/>
      <w:lvlText w:val="%1."/>
      <w:lvlJc w:val="left"/>
      <w:pPr>
        <w:ind w:left="780" w:hanging="360"/>
      </w:pPr>
      <w:rPr>
        <w:rFonts w:ascii="Verdana" w:hAnsi="Verdana" w:hint="default"/>
        <w:b/>
        <w:i w:val="0"/>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3FEB5849"/>
    <w:multiLevelType w:val="multilevel"/>
    <w:tmpl w:val="3FEB5849"/>
    <w:lvl w:ilvl="0">
      <w:start w:val="1"/>
      <w:numFmt w:val="lowerLetter"/>
      <w:lvlText w:val="%1)"/>
      <w:lvlJc w:val="left"/>
      <w:pPr>
        <w:ind w:left="1247" w:hanging="360"/>
      </w:pPr>
    </w:lvl>
    <w:lvl w:ilvl="1">
      <w:start w:val="1"/>
      <w:numFmt w:val="lowerLetter"/>
      <w:lvlText w:val="%2."/>
      <w:lvlJc w:val="left"/>
      <w:pPr>
        <w:ind w:left="1967" w:hanging="360"/>
      </w:pPr>
    </w:lvl>
    <w:lvl w:ilvl="2">
      <w:start w:val="1"/>
      <w:numFmt w:val="lowerRoman"/>
      <w:lvlText w:val="%3."/>
      <w:lvlJc w:val="right"/>
      <w:pPr>
        <w:ind w:left="2687" w:hanging="180"/>
      </w:pPr>
    </w:lvl>
    <w:lvl w:ilvl="3">
      <w:start w:val="1"/>
      <w:numFmt w:val="decimal"/>
      <w:lvlText w:val="%4."/>
      <w:lvlJc w:val="left"/>
      <w:pPr>
        <w:ind w:left="3407" w:hanging="360"/>
      </w:pPr>
    </w:lvl>
    <w:lvl w:ilvl="4">
      <w:start w:val="1"/>
      <w:numFmt w:val="lowerLetter"/>
      <w:lvlText w:val="%5."/>
      <w:lvlJc w:val="left"/>
      <w:pPr>
        <w:ind w:left="4127" w:hanging="360"/>
      </w:pPr>
    </w:lvl>
    <w:lvl w:ilvl="5">
      <w:start w:val="1"/>
      <w:numFmt w:val="lowerRoman"/>
      <w:lvlText w:val="%6."/>
      <w:lvlJc w:val="right"/>
      <w:pPr>
        <w:ind w:left="4847" w:hanging="180"/>
      </w:pPr>
    </w:lvl>
    <w:lvl w:ilvl="6">
      <w:start w:val="1"/>
      <w:numFmt w:val="decimal"/>
      <w:lvlText w:val="%7."/>
      <w:lvlJc w:val="left"/>
      <w:pPr>
        <w:ind w:left="5567" w:hanging="360"/>
      </w:pPr>
    </w:lvl>
    <w:lvl w:ilvl="7">
      <w:start w:val="1"/>
      <w:numFmt w:val="lowerLetter"/>
      <w:lvlText w:val="%8."/>
      <w:lvlJc w:val="left"/>
      <w:pPr>
        <w:ind w:left="6287" w:hanging="360"/>
      </w:pPr>
    </w:lvl>
    <w:lvl w:ilvl="8">
      <w:start w:val="1"/>
      <w:numFmt w:val="lowerRoman"/>
      <w:lvlText w:val="%9."/>
      <w:lvlJc w:val="right"/>
      <w:pPr>
        <w:ind w:left="7007" w:hanging="180"/>
      </w:pPr>
    </w:lvl>
  </w:abstractNum>
  <w:abstractNum w:abstractNumId="14" w15:restartNumberingAfterBreak="0">
    <w:nsid w:val="436A6F72"/>
    <w:multiLevelType w:val="hybridMultilevel"/>
    <w:tmpl w:val="89FE5626"/>
    <w:lvl w:ilvl="0" w:tplc="3EE6775C">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96839"/>
    <w:multiLevelType w:val="hybridMultilevel"/>
    <w:tmpl w:val="E4AA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F194B0F"/>
    <w:multiLevelType w:val="hybridMultilevel"/>
    <w:tmpl w:val="F6F60506"/>
    <w:lvl w:ilvl="0" w:tplc="FFFFFFFF">
      <w:start w:val="1"/>
      <w:numFmt w:val="decimal"/>
      <w:lvlText w:val="%1."/>
      <w:lvlJc w:val="left"/>
      <w:pPr>
        <w:ind w:left="720" w:hanging="360"/>
      </w:pPr>
      <w:rPr>
        <w:rFonts w:hint="default"/>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3B4C37"/>
    <w:multiLevelType w:val="hybridMultilevel"/>
    <w:tmpl w:val="4E7AFF22"/>
    <w:lvl w:ilvl="0" w:tplc="C86211EE">
      <w:start w:val="8"/>
      <w:numFmt w:val="decimal"/>
      <w:lvlText w:val="%1."/>
      <w:lvlJc w:val="left"/>
      <w:pPr>
        <w:ind w:left="504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A25EF"/>
    <w:multiLevelType w:val="hybridMultilevel"/>
    <w:tmpl w:val="ECB69344"/>
    <w:lvl w:ilvl="0" w:tplc="8D5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22B9B"/>
    <w:multiLevelType w:val="multilevel"/>
    <w:tmpl w:val="5EB22B9B"/>
    <w:lvl w:ilvl="0">
      <w:start w:val="1"/>
      <w:numFmt w:val="decimal"/>
      <w:lvlText w:val="%1."/>
      <w:lvlJc w:val="left"/>
      <w:pPr>
        <w:ind w:left="810" w:hanging="360"/>
      </w:pPr>
      <w:rPr>
        <w:b w:val="0"/>
        <w:bCs w:val="0"/>
      </w:rPr>
    </w:lvl>
    <w:lvl w:ilvl="1">
      <w:start w:val="1"/>
      <w:numFmt w:val="lowerLetter"/>
      <w:lvlText w:val="%2."/>
      <w:lvlJc w:val="left"/>
      <w:pPr>
        <w:ind w:left="1530" w:hanging="360"/>
      </w:pPr>
    </w:lvl>
    <w:lvl w:ilvl="2">
      <w:start w:val="1"/>
      <w:numFmt w:val="decimal"/>
      <w:lvlText w:val="%3"/>
      <w:lvlJc w:val="left"/>
      <w:pPr>
        <w:ind w:left="2430" w:hanging="36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678113FD"/>
    <w:multiLevelType w:val="hybridMultilevel"/>
    <w:tmpl w:val="FC3C1E0E"/>
    <w:lvl w:ilvl="0" w:tplc="E878D6D2">
      <w:numFmt w:val="bullet"/>
      <w:lvlText w:val="-"/>
      <w:lvlJc w:val="left"/>
      <w:pPr>
        <w:ind w:left="1287" w:hanging="360"/>
      </w:pPr>
      <w:rPr>
        <w:rFonts w:ascii="Times New Roman" w:eastAsiaTheme="minorHAnsi"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2" w15:restartNumberingAfterBreak="0">
    <w:nsid w:val="6C205C73"/>
    <w:multiLevelType w:val="hybridMultilevel"/>
    <w:tmpl w:val="608E9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84D0F"/>
    <w:multiLevelType w:val="multilevel"/>
    <w:tmpl w:val="B6346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70E602EE"/>
    <w:multiLevelType w:val="hybridMultilevel"/>
    <w:tmpl w:val="2F7895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6" w15:restartNumberingAfterBreak="0">
    <w:nsid w:val="72877FF5"/>
    <w:multiLevelType w:val="hybridMultilevel"/>
    <w:tmpl w:val="808CFA1A"/>
    <w:lvl w:ilvl="0" w:tplc="7BCA5BF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458957">
    <w:abstractNumId w:val="11"/>
  </w:num>
  <w:num w:numId="2" w16cid:durableId="741828697">
    <w:abstractNumId w:val="18"/>
  </w:num>
  <w:num w:numId="3" w16cid:durableId="1226144195">
    <w:abstractNumId w:val="27"/>
  </w:num>
  <w:num w:numId="4" w16cid:durableId="1866602010">
    <w:abstractNumId w:val="25"/>
  </w:num>
  <w:num w:numId="5" w16cid:durableId="75446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230233">
    <w:abstractNumId w:val="21"/>
  </w:num>
  <w:num w:numId="7" w16cid:durableId="2140150487">
    <w:abstractNumId w:val="9"/>
  </w:num>
  <w:num w:numId="8" w16cid:durableId="1913929140">
    <w:abstractNumId w:val="1"/>
  </w:num>
  <w:num w:numId="9" w16cid:durableId="1373772122">
    <w:abstractNumId w:val="5"/>
  </w:num>
  <w:num w:numId="10" w16cid:durableId="355733969">
    <w:abstractNumId w:val="24"/>
  </w:num>
  <w:num w:numId="11" w16cid:durableId="1335300952">
    <w:abstractNumId w:val="2"/>
  </w:num>
  <w:num w:numId="12" w16cid:durableId="1859269582">
    <w:abstractNumId w:val="3"/>
  </w:num>
  <w:num w:numId="13" w16cid:durableId="1543900296">
    <w:abstractNumId w:val="19"/>
  </w:num>
  <w:num w:numId="14" w16cid:durableId="1181974030">
    <w:abstractNumId w:val="17"/>
  </w:num>
  <w:num w:numId="15" w16cid:durableId="20962426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13035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7179081">
    <w:abstractNumId w:val="22"/>
  </w:num>
  <w:num w:numId="18" w16cid:durableId="1367365880">
    <w:abstractNumId w:val="23"/>
  </w:num>
  <w:num w:numId="19" w16cid:durableId="940718621">
    <w:abstractNumId w:val="16"/>
  </w:num>
  <w:num w:numId="20" w16cid:durableId="48963015">
    <w:abstractNumId w:val="10"/>
  </w:num>
  <w:num w:numId="21" w16cid:durableId="1660499746">
    <w:abstractNumId w:val="12"/>
  </w:num>
  <w:num w:numId="22" w16cid:durableId="1142427305">
    <w:abstractNumId w:val="0"/>
  </w:num>
  <w:num w:numId="23" w16cid:durableId="12425229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284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6000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2600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3139711">
    <w:abstractNumId w:val="4"/>
  </w:num>
  <w:num w:numId="28" w16cid:durableId="16568400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CD"/>
    <w:rsid w:val="000076DC"/>
    <w:rsid w:val="00011107"/>
    <w:rsid w:val="00036CB5"/>
    <w:rsid w:val="000424D2"/>
    <w:rsid w:val="00046349"/>
    <w:rsid w:val="0005287E"/>
    <w:rsid w:val="00054F01"/>
    <w:rsid w:val="0005570E"/>
    <w:rsid w:val="00062570"/>
    <w:rsid w:val="0007744F"/>
    <w:rsid w:val="00080E63"/>
    <w:rsid w:val="00086513"/>
    <w:rsid w:val="00096528"/>
    <w:rsid w:val="000A0203"/>
    <w:rsid w:val="000B14A7"/>
    <w:rsid w:val="000B3877"/>
    <w:rsid w:val="000C45BE"/>
    <w:rsid w:val="000D7F05"/>
    <w:rsid w:val="000E25F9"/>
    <w:rsid w:val="000E5B1D"/>
    <w:rsid w:val="000E686B"/>
    <w:rsid w:val="00100F90"/>
    <w:rsid w:val="001148FF"/>
    <w:rsid w:val="00125C6D"/>
    <w:rsid w:val="001307A9"/>
    <w:rsid w:val="00132AA9"/>
    <w:rsid w:val="00156371"/>
    <w:rsid w:val="001716B2"/>
    <w:rsid w:val="0017437D"/>
    <w:rsid w:val="00175F7C"/>
    <w:rsid w:val="00192018"/>
    <w:rsid w:val="001B4608"/>
    <w:rsid w:val="001C0233"/>
    <w:rsid w:val="001C3D8F"/>
    <w:rsid w:val="001E39B3"/>
    <w:rsid w:val="002036F6"/>
    <w:rsid w:val="00212246"/>
    <w:rsid w:val="00212901"/>
    <w:rsid w:val="00212FC3"/>
    <w:rsid w:val="00220458"/>
    <w:rsid w:val="002222B8"/>
    <w:rsid w:val="00237F21"/>
    <w:rsid w:val="0025082B"/>
    <w:rsid w:val="002B394F"/>
    <w:rsid w:val="002B49C6"/>
    <w:rsid w:val="002E4144"/>
    <w:rsid w:val="002F2B43"/>
    <w:rsid w:val="002F773A"/>
    <w:rsid w:val="00302A81"/>
    <w:rsid w:val="00305D6D"/>
    <w:rsid w:val="00306D40"/>
    <w:rsid w:val="00316C92"/>
    <w:rsid w:val="00320C7D"/>
    <w:rsid w:val="00331561"/>
    <w:rsid w:val="0034263E"/>
    <w:rsid w:val="00366DBE"/>
    <w:rsid w:val="00380351"/>
    <w:rsid w:val="00383DCD"/>
    <w:rsid w:val="00387AED"/>
    <w:rsid w:val="003916A1"/>
    <w:rsid w:val="0039551F"/>
    <w:rsid w:val="003C1D1A"/>
    <w:rsid w:val="003C7957"/>
    <w:rsid w:val="003D0517"/>
    <w:rsid w:val="003E668C"/>
    <w:rsid w:val="003F3FE8"/>
    <w:rsid w:val="004221C2"/>
    <w:rsid w:val="00432720"/>
    <w:rsid w:val="0043799D"/>
    <w:rsid w:val="00443546"/>
    <w:rsid w:val="00443DBC"/>
    <w:rsid w:val="00447C2E"/>
    <w:rsid w:val="0045313C"/>
    <w:rsid w:val="0045679C"/>
    <w:rsid w:val="0045783B"/>
    <w:rsid w:val="00474335"/>
    <w:rsid w:val="00475979"/>
    <w:rsid w:val="00476825"/>
    <w:rsid w:val="00494CF1"/>
    <w:rsid w:val="004A269B"/>
    <w:rsid w:val="004B0309"/>
    <w:rsid w:val="004B2E0E"/>
    <w:rsid w:val="004B604A"/>
    <w:rsid w:val="004C50CE"/>
    <w:rsid w:val="004F3626"/>
    <w:rsid w:val="0054602C"/>
    <w:rsid w:val="00555F58"/>
    <w:rsid w:val="00562274"/>
    <w:rsid w:val="00565729"/>
    <w:rsid w:val="005739CA"/>
    <w:rsid w:val="00573B2C"/>
    <w:rsid w:val="00574315"/>
    <w:rsid w:val="00581449"/>
    <w:rsid w:val="0058505B"/>
    <w:rsid w:val="005852A3"/>
    <w:rsid w:val="0059036B"/>
    <w:rsid w:val="00590CDE"/>
    <w:rsid w:val="005970BB"/>
    <w:rsid w:val="005D5F3E"/>
    <w:rsid w:val="005F2797"/>
    <w:rsid w:val="005F3914"/>
    <w:rsid w:val="005F6E25"/>
    <w:rsid w:val="0060558B"/>
    <w:rsid w:val="00610B1D"/>
    <w:rsid w:val="00621168"/>
    <w:rsid w:val="00635060"/>
    <w:rsid w:val="0065660C"/>
    <w:rsid w:val="00660581"/>
    <w:rsid w:val="00660FCB"/>
    <w:rsid w:val="006740D6"/>
    <w:rsid w:val="00682235"/>
    <w:rsid w:val="00684D19"/>
    <w:rsid w:val="00684FED"/>
    <w:rsid w:val="006850B7"/>
    <w:rsid w:val="00685CB8"/>
    <w:rsid w:val="006A0B6A"/>
    <w:rsid w:val="006B10AC"/>
    <w:rsid w:val="006C061A"/>
    <w:rsid w:val="006E14EE"/>
    <w:rsid w:val="006E2604"/>
    <w:rsid w:val="006F18AF"/>
    <w:rsid w:val="006F479E"/>
    <w:rsid w:val="0070583E"/>
    <w:rsid w:val="00725DB7"/>
    <w:rsid w:val="00752BD0"/>
    <w:rsid w:val="00773CE8"/>
    <w:rsid w:val="007757F9"/>
    <w:rsid w:val="00776ABC"/>
    <w:rsid w:val="0079505E"/>
    <w:rsid w:val="00795D47"/>
    <w:rsid w:val="007B1B2D"/>
    <w:rsid w:val="007C3F13"/>
    <w:rsid w:val="007E1CEB"/>
    <w:rsid w:val="007E2AE3"/>
    <w:rsid w:val="007E7D99"/>
    <w:rsid w:val="008141B5"/>
    <w:rsid w:val="008376C3"/>
    <w:rsid w:val="008428B2"/>
    <w:rsid w:val="00870D73"/>
    <w:rsid w:val="00877115"/>
    <w:rsid w:val="008966AB"/>
    <w:rsid w:val="008B1A73"/>
    <w:rsid w:val="008B3CFA"/>
    <w:rsid w:val="008C48B8"/>
    <w:rsid w:val="008F0451"/>
    <w:rsid w:val="008F2769"/>
    <w:rsid w:val="00901842"/>
    <w:rsid w:val="00916FF8"/>
    <w:rsid w:val="0092114D"/>
    <w:rsid w:val="0092419D"/>
    <w:rsid w:val="00932907"/>
    <w:rsid w:val="009376CB"/>
    <w:rsid w:val="00941BE6"/>
    <w:rsid w:val="00972EEC"/>
    <w:rsid w:val="0097626C"/>
    <w:rsid w:val="009775A4"/>
    <w:rsid w:val="00982BB0"/>
    <w:rsid w:val="009830C4"/>
    <w:rsid w:val="009879C3"/>
    <w:rsid w:val="009A3415"/>
    <w:rsid w:val="009B7C85"/>
    <w:rsid w:val="009C251D"/>
    <w:rsid w:val="009C37E4"/>
    <w:rsid w:val="009C6734"/>
    <w:rsid w:val="009D53D8"/>
    <w:rsid w:val="009E165E"/>
    <w:rsid w:val="009E3DA6"/>
    <w:rsid w:val="00A071B6"/>
    <w:rsid w:val="00A27E1C"/>
    <w:rsid w:val="00A35A75"/>
    <w:rsid w:val="00A42EAB"/>
    <w:rsid w:val="00A43CD4"/>
    <w:rsid w:val="00A44E7E"/>
    <w:rsid w:val="00A5223B"/>
    <w:rsid w:val="00A56ADD"/>
    <w:rsid w:val="00A965C7"/>
    <w:rsid w:val="00AA7C73"/>
    <w:rsid w:val="00AC4B04"/>
    <w:rsid w:val="00AC5F43"/>
    <w:rsid w:val="00AC6C6A"/>
    <w:rsid w:val="00AF14F3"/>
    <w:rsid w:val="00B24296"/>
    <w:rsid w:val="00B26AA2"/>
    <w:rsid w:val="00B56D76"/>
    <w:rsid w:val="00B57A05"/>
    <w:rsid w:val="00B70FAD"/>
    <w:rsid w:val="00B770AC"/>
    <w:rsid w:val="00B8657C"/>
    <w:rsid w:val="00B86699"/>
    <w:rsid w:val="00B9261B"/>
    <w:rsid w:val="00B92DD4"/>
    <w:rsid w:val="00B93F58"/>
    <w:rsid w:val="00BA5FDB"/>
    <w:rsid w:val="00BC7211"/>
    <w:rsid w:val="00BD2E3E"/>
    <w:rsid w:val="00BD62B5"/>
    <w:rsid w:val="00BE6BB6"/>
    <w:rsid w:val="00C07AD1"/>
    <w:rsid w:val="00C128F4"/>
    <w:rsid w:val="00C24BF2"/>
    <w:rsid w:val="00C24FD1"/>
    <w:rsid w:val="00C41EFF"/>
    <w:rsid w:val="00C4642D"/>
    <w:rsid w:val="00C55C40"/>
    <w:rsid w:val="00C67B2F"/>
    <w:rsid w:val="00C82AD3"/>
    <w:rsid w:val="00C8585F"/>
    <w:rsid w:val="00C9296F"/>
    <w:rsid w:val="00CA366E"/>
    <w:rsid w:val="00CB2562"/>
    <w:rsid w:val="00CB35EE"/>
    <w:rsid w:val="00CD2550"/>
    <w:rsid w:val="00CE3BE8"/>
    <w:rsid w:val="00CF48A0"/>
    <w:rsid w:val="00CF50C2"/>
    <w:rsid w:val="00D00E14"/>
    <w:rsid w:val="00D037AA"/>
    <w:rsid w:val="00D0744C"/>
    <w:rsid w:val="00D1196B"/>
    <w:rsid w:val="00D17CA8"/>
    <w:rsid w:val="00D30009"/>
    <w:rsid w:val="00D4059A"/>
    <w:rsid w:val="00D42798"/>
    <w:rsid w:val="00D44213"/>
    <w:rsid w:val="00D53091"/>
    <w:rsid w:val="00D67755"/>
    <w:rsid w:val="00D75093"/>
    <w:rsid w:val="00D81C4E"/>
    <w:rsid w:val="00D82D32"/>
    <w:rsid w:val="00D868D3"/>
    <w:rsid w:val="00D86F20"/>
    <w:rsid w:val="00D968C8"/>
    <w:rsid w:val="00DC24D2"/>
    <w:rsid w:val="00DC3DE6"/>
    <w:rsid w:val="00DC4ACD"/>
    <w:rsid w:val="00DE2C63"/>
    <w:rsid w:val="00E00E29"/>
    <w:rsid w:val="00E06945"/>
    <w:rsid w:val="00E072B4"/>
    <w:rsid w:val="00E25110"/>
    <w:rsid w:val="00E41547"/>
    <w:rsid w:val="00E41676"/>
    <w:rsid w:val="00E92167"/>
    <w:rsid w:val="00EA32DD"/>
    <w:rsid w:val="00EA55FD"/>
    <w:rsid w:val="00EA61BB"/>
    <w:rsid w:val="00EB7DB2"/>
    <w:rsid w:val="00EC6350"/>
    <w:rsid w:val="00ED0BB3"/>
    <w:rsid w:val="00ED1886"/>
    <w:rsid w:val="00F14125"/>
    <w:rsid w:val="00F17968"/>
    <w:rsid w:val="00F2118A"/>
    <w:rsid w:val="00F4197E"/>
    <w:rsid w:val="00F43057"/>
    <w:rsid w:val="00F575D0"/>
    <w:rsid w:val="00F615DC"/>
    <w:rsid w:val="00F74A3B"/>
    <w:rsid w:val="00FB068D"/>
    <w:rsid w:val="00FB7B15"/>
    <w:rsid w:val="00FD4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20BD"/>
  <w15:docId w15:val="{594BA23C-2EE5-4925-8614-7ABF0B59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4F"/>
  </w:style>
  <w:style w:type="paragraph" w:styleId="Heading1">
    <w:name w:val="heading 1"/>
    <w:basedOn w:val="Normal"/>
    <w:link w:val="Heading1Char"/>
    <w:uiPriority w:val="9"/>
    <w:qFormat/>
    <w:rsid w:val="00901842"/>
    <w:pPr>
      <w:widowControl w:val="0"/>
      <w:numPr>
        <w:numId w:val="21"/>
      </w:numPr>
      <w:autoSpaceDE w:val="0"/>
      <w:autoSpaceDN w:val="0"/>
      <w:spacing w:after="120" w:line="240" w:lineRule="auto"/>
      <w:outlineLvl w:val="0"/>
    </w:pPr>
    <w:rPr>
      <w:rFonts w:ascii="Verdana" w:eastAsia="Arial" w:hAnsi="Verdana" w:cs="Arial"/>
      <w:b/>
      <w:bCs/>
      <w:sz w:val="20"/>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DC4ACD"/>
    <w:rPr>
      <w:color w:val="0000FF"/>
      <w:u w:val="single"/>
    </w:rPr>
  </w:style>
  <w:style w:type="paragraph" w:styleId="Title">
    <w:name w:val="Title"/>
    <w:basedOn w:val="Normal"/>
    <w:link w:val="TitleChar"/>
    <w:uiPriority w:val="10"/>
    <w:qFormat/>
    <w:rsid w:val="00DC4ACD"/>
    <w:pPr>
      <w:spacing w:after="0" w:line="240" w:lineRule="auto"/>
      <w:jc w:val="center"/>
    </w:pPr>
    <w:rPr>
      <w:rFonts w:ascii="Times New Roman" w:eastAsia="Times New Roman" w:hAnsi="Times New Roman" w:cs="Times New Roman"/>
      <w:b/>
      <w:bCs/>
      <w:sz w:val="48"/>
      <w:szCs w:val="48"/>
      <w:lang w:eastAsia="ru-RU"/>
    </w:rPr>
  </w:style>
  <w:style w:type="character" w:customStyle="1" w:styleId="TitleChar">
    <w:name w:val="Title Char"/>
    <w:basedOn w:val="DefaultParagraphFont"/>
    <w:link w:val="Title"/>
    <w:uiPriority w:val="10"/>
    <w:rsid w:val="00DC4ACD"/>
    <w:rPr>
      <w:rFonts w:ascii="Times New Roman" w:eastAsia="Times New Roman" w:hAnsi="Times New Roman" w:cs="Times New Roman"/>
      <w:b/>
      <w:bCs/>
      <w:sz w:val="48"/>
      <w:szCs w:val="48"/>
      <w:lang w:eastAsia="ru-RU"/>
    </w:rPr>
  </w:style>
  <w:style w:type="paragraph" w:customStyle="1" w:styleId="SectionXHeading">
    <w:name w:val="Section X Heading"/>
    <w:basedOn w:val="Normal"/>
    <w:rsid w:val="00DC4ACD"/>
    <w:pPr>
      <w:spacing w:before="240" w:after="240" w:line="240" w:lineRule="auto"/>
      <w:jc w:val="center"/>
    </w:pPr>
    <w:rPr>
      <w:rFonts w:ascii="Times New Roman Bold" w:eastAsia="Times New Roman" w:hAnsi="Times New Roman Bold" w:cs="Times New Roman Bold"/>
      <w:b/>
      <w:bCs/>
      <w:sz w:val="36"/>
      <w:szCs w:val="36"/>
      <w:lang w:eastAsia="ru-RU"/>
    </w:rPr>
  </w:style>
  <w:style w:type="paragraph" w:customStyle="1" w:styleId="Outline2">
    <w:name w:val="Outline2"/>
    <w:basedOn w:val="Normal"/>
    <w:rsid w:val="00DC4ACD"/>
    <w:pPr>
      <w:spacing w:before="240" w:after="0" w:line="240" w:lineRule="auto"/>
      <w:ind w:left="864" w:hanging="504"/>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9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15"/>
    <w:rPr>
      <w:rFonts w:ascii="Tahoma" w:hAnsi="Tahoma" w:cs="Tahoma"/>
      <w:sz w:val="16"/>
      <w:szCs w:val="16"/>
    </w:rPr>
  </w:style>
  <w:style w:type="paragraph" w:styleId="Header">
    <w:name w:val="header"/>
    <w:basedOn w:val="Normal"/>
    <w:link w:val="HeaderChar"/>
    <w:rsid w:val="009A3415"/>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9A3415"/>
    <w:rPr>
      <w:rFonts w:ascii="Times New Roman" w:eastAsia="Times New Roman" w:hAnsi="Times New Roman" w:cs="Times New Roman"/>
      <w:sz w:val="20"/>
      <w:szCs w:val="20"/>
      <w:lang w:val="en-US"/>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CE3BE8"/>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D868D3"/>
  </w:style>
  <w:style w:type="table" w:styleId="TableGrid">
    <w:name w:val="Table Grid"/>
    <w:basedOn w:val="TableNormal"/>
    <w:uiPriority w:val="59"/>
    <w:rsid w:val="00D868D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660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5660C"/>
  </w:style>
  <w:style w:type="character" w:styleId="CommentReference">
    <w:name w:val="annotation reference"/>
    <w:uiPriority w:val="99"/>
    <w:semiHidden/>
    <w:qFormat/>
    <w:rsid w:val="00621168"/>
    <w:rPr>
      <w:sz w:val="16"/>
      <w:szCs w:val="16"/>
    </w:rPr>
  </w:style>
  <w:style w:type="paragraph" w:styleId="CommentText">
    <w:name w:val="annotation text"/>
    <w:basedOn w:val="Normal"/>
    <w:link w:val="CommentTextChar"/>
    <w:uiPriority w:val="99"/>
    <w:semiHidden/>
    <w:rsid w:val="0062116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21168"/>
    <w:rPr>
      <w:rFonts w:ascii="Times New Roman" w:eastAsia="Times New Roman" w:hAnsi="Times New Roman" w:cs="Times New Roman"/>
      <w:sz w:val="20"/>
      <w:szCs w:val="20"/>
      <w:lang w:val="en-US"/>
    </w:rPr>
  </w:style>
  <w:style w:type="paragraph" w:styleId="Revision">
    <w:name w:val="Revision"/>
    <w:hidden/>
    <w:uiPriority w:val="99"/>
    <w:semiHidden/>
    <w:rsid w:val="001716B2"/>
    <w:pPr>
      <w:spacing w:after="0" w:line="240" w:lineRule="auto"/>
    </w:pPr>
  </w:style>
  <w:style w:type="table" w:customStyle="1" w:styleId="3">
    <w:name w:val="Сетка таблицы3"/>
    <w:basedOn w:val="TableNormal"/>
    <w:next w:val="TableGrid"/>
    <w:uiPriority w:val="39"/>
    <w:rsid w:val="00814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080E63"/>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0E68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E14EE"/>
    <w:rPr>
      <w:b/>
      <w:bCs/>
    </w:rPr>
  </w:style>
  <w:style w:type="paragraph" w:styleId="NormalWeb">
    <w:name w:val="Normal (Web)"/>
    <w:basedOn w:val="Normal"/>
    <w:unhideWhenUsed/>
    <w:rsid w:val="006E14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single space,ft,Footnote Text WBR,WBR,footnote text,fn,ADB,FOOTNOTES,Footnote text,paragraph,Paragraph Footnote,f,Geneva 9,Font: Geneva 9,Boston 10,Fußnotentext Char,Footnote Text Char2 Cha,Footnote Text Char Char Char,A"/>
    <w:basedOn w:val="Normal"/>
    <w:link w:val="FootnoteTextChar"/>
    <w:uiPriority w:val="99"/>
    <w:qFormat/>
    <w:rsid w:val="009376CB"/>
    <w:pPr>
      <w:spacing w:after="0" w:line="240" w:lineRule="auto"/>
    </w:pPr>
    <w:rPr>
      <w:rFonts w:ascii="Times New Roman" w:eastAsia="Times New Roman" w:hAnsi="Times New Roman" w:cs="Times New Roman"/>
      <w:sz w:val="20"/>
      <w:szCs w:val="20"/>
      <w:lang w:val="ro-MD"/>
    </w:rPr>
  </w:style>
  <w:style w:type="character" w:customStyle="1" w:styleId="FootnoteTextChar">
    <w:name w:val="Footnote Text Char"/>
    <w:aliases w:val="single space Char,ft Char,Footnote Text WBR Char,WBR Char,footnote text Char,fn Char,ADB Char,FOOTNOTES Char,Footnote text Char,paragraph Char,Paragraph Footnote Char,f Char,Geneva 9 Char,Font: Geneva 9 Char,Boston 10 Char,A Char"/>
    <w:basedOn w:val="DefaultParagraphFont"/>
    <w:link w:val="FootnoteText"/>
    <w:uiPriority w:val="99"/>
    <w:qFormat/>
    <w:rsid w:val="009376CB"/>
    <w:rPr>
      <w:rFonts w:ascii="Times New Roman" w:eastAsia="Times New Roman" w:hAnsi="Times New Roman" w:cs="Times New Roman"/>
      <w:sz w:val="20"/>
      <w:szCs w:val="20"/>
      <w:lang w:val="ro-MD"/>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Знак сноски-FN"/>
    <w:link w:val="BVIfnrCarCar"/>
    <w:uiPriority w:val="99"/>
    <w:qFormat/>
    <w:rsid w:val="009376CB"/>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9376CB"/>
    <w:pPr>
      <w:spacing w:after="160" w:line="240" w:lineRule="exact"/>
      <w:ind w:left="164" w:hanging="181"/>
    </w:pPr>
    <w:rPr>
      <w:vertAlign w:val="superscript"/>
    </w:rPr>
  </w:style>
  <w:style w:type="table" w:styleId="PlainTable1">
    <w:name w:val="Plain Table 1"/>
    <w:basedOn w:val="TableNormal"/>
    <w:uiPriority w:val="41"/>
    <w:rsid w:val="009376CB"/>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4-Accentuare51">
    <w:name w:val="Tabel grilă 4 - Accentuare 51"/>
    <w:basedOn w:val="TableNormal"/>
    <w:uiPriority w:val="49"/>
    <w:rsid w:val="009376CB"/>
    <w:pPr>
      <w:widowControl w:val="0"/>
      <w:autoSpaceDE w:val="0"/>
      <w:autoSpaceDN w:val="0"/>
      <w:spacing w:after="0" w:line="240" w:lineRule="auto"/>
    </w:pPr>
    <w:rPr>
      <w:rFonts w:ascii="Calibri" w:eastAsia="Calibri" w:hAnsi="Calibri" w:cs="Arial"/>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Heading1Char">
    <w:name w:val="Heading 1 Char"/>
    <w:basedOn w:val="DefaultParagraphFont"/>
    <w:link w:val="Heading1"/>
    <w:uiPriority w:val="9"/>
    <w:qFormat/>
    <w:rsid w:val="00901842"/>
    <w:rPr>
      <w:rFonts w:ascii="Verdana" w:eastAsia="Arial" w:hAnsi="Verdana" w:cs="Arial"/>
      <w:b/>
      <w:bCs/>
      <w:sz w:val="20"/>
      <w:szCs w:val="23"/>
      <w:lang w:val="en-US"/>
    </w:rPr>
  </w:style>
  <w:style w:type="paragraph" w:styleId="BodyText">
    <w:name w:val="Body Text"/>
    <w:basedOn w:val="Normal"/>
    <w:link w:val="BodyTextChar"/>
    <w:uiPriority w:val="1"/>
    <w:qFormat/>
    <w:rsid w:val="00901842"/>
    <w:pPr>
      <w:widowControl w:val="0"/>
      <w:autoSpaceDE w:val="0"/>
      <w:autoSpaceDN w:val="0"/>
      <w:spacing w:after="120"/>
      <w:ind w:left="420" w:right="125"/>
      <w:jc w:val="both"/>
    </w:pPr>
    <w:rPr>
      <w:rFonts w:ascii="Verdana" w:eastAsia="Times New Roman" w:hAnsi="Verdana" w:cs="Times New Roman"/>
      <w:sz w:val="20"/>
      <w:lang w:val="en-US"/>
    </w:rPr>
  </w:style>
  <w:style w:type="character" w:customStyle="1" w:styleId="BodyTextChar">
    <w:name w:val="Body Text Char"/>
    <w:basedOn w:val="DefaultParagraphFont"/>
    <w:link w:val="BodyText"/>
    <w:uiPriority w:val="1"/>
    <w:qFormat/>
    <w:rsid w:val="00901842"/>
    <w:rPr>
      <w:rFonts w:ascii="Verdana" w:eastAsia="Times New Roman" w:hAnsi="Verdana" w:cs="Times New Roman"/>
      <w:sz w:val="20"/>
      <w:lang w:val="en-US"/>
    </w:rPr>
  </w:style>
  <w:style w:type="paragraph" w:customStyle="1" w:styleId="pf0">
    <w:name w:val="pf0"/>
    <w:basedOn w:val="Normal"/>
    <w:qFormat/>
    <w:rsid w:val="009018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qFormat/>
    <w:rsid w:val="00901842"/>
    <w:rPr>
      <w:rFonts w:ascii="Segoe UI" w:hAnsi="Segoe UI" w:cs="Segoe UI" w:hint="default"/>
      <w:sz w:val="18"/>
      <w:szCs w:val="18"/>
    </w:rPr>
  </w:style>
  <w:style w:type="paragraph" w:customStyle="1" w:styleId="BankNormal">
    <w:name w:val="BankNormal"/>
    <w:basedOn w:val="Normal"/>
    <w:rsid w:val="00901842"/>
    <w:pPr>
      <w:widowControl w:val="0"/>
      <w:autoSpaceDE w:val="0"/>
      <w:autoSpaceDN w:val="0"/>
      <w:snapToGrid w:val="0"/>
      <w:spacing w:after="240" w:line="240" w:lineRule="auto"/>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3500">
      <w:bodyDiv w:val="1"/>
      <w:marLeft w:val="0"/>
      <w:marRight w:val="0"/>
      <w:marTop w:val="0"/>
      <w:marBottom w:val="0"/>
      <w:divBdr>
        <w:top w:val="none" w:sz="0" w:space="0" w:color="auto"/>
        <w:left w:val="none" w:sz="0" w:space="0" w:color="auto"/>
        <w:bottom w:val="none" w:sz="0" w:space="0" w:color="auto"/>
        <w:right w:val="none" w:sz="0" w:space="0" w:color="auto"/>
      </w:divBdr>
    </w:div>
    <w:div w:id="66153429">
      <w:bodyDiv w:val="1"/>
      <w:marLeft w:val="0"/>
      <w:marRight w:val="0"/>
      <w:marTop w:val="0"/>
      <w:marBottom w:val="0"/>
      <w:divBdr>
        <w:top w:val="none" w:sz="0" w:space="0" w:color="auto"/>
        <w:left w:val="none" w:sz="0" w:space="0" w:color="auto"/>
        <w:bottom w:val="none" w:sz="0" w:space="0" w:color="auto"/>
        <w:right w:val="none" w:sz="0" w:space="0" w:color="auto"/>
      </w:divBdr>
    </w:div>
    <w:div w:id="80487325">
      <w:bodyDiv w:val="1"/>
      <w:marLeft w:val="0"/>
      <w:marRight w:val="0"/>
      <w:marTop w:val="0"/>
      <w:marBottom w:val="0"/>
      <w:divBdr>
        <w:top w:val="none" w:sz="0" w:space="0" w:color="auto"/>
        <w:left w:val="none" w:sz="0" w:space="0" w:color="auto"/>
        <w:bottom w:val="none" w:sz="0" w:space="0" w:color="auto"/>
        <w:right w:val="none" w:sz="0" w:space="0" w:color="auto"/>
      </w:divBdr>
    </w:div>
    <w:div w:id="171922915">
      <w:bodyDiv w:val="1"/>
      <w:marLeft w:val="0"/>
      <w:marRight w:val="0"/>
      <w:marTop w:val="0"/>
      <w:marBottom w:val="0"/>
      <w:divBdr>
        <w:top w:val="none" w:sz="0" w:space="0" w:color="auto"/>
        <w:left w:val="none" w:sz="0" w:space="0" w:color="auto"/>
        <w:bottom w:val="none" w:sz="0" w:space="0" w:color="auto"/>
        <w:right w:val="none" w:sz="0" w:space="0" w:color="auto"/>
      </w:divBdr>
    </w:div>
    <w:div w:id="233589072">
      <w:bodyDiv w:val="1"/>
      <w:marLeft w:val="0"/>
      <w:marRight w:val="0"/>
      <w:marTop w:val="0"/>
      <w:marBottom w:val="0"/>
      <w:divBdr>
        <w:top w:val="none" w:sz="0" w:space="0" w:color="auto"/>
        <w:left w:val="none" w:sz="0" w:space="0" w:color="auto"/>
        <w:bottom w:val="none" w:sz="0" w:space="0" w:color="auto"/>
        <w:right w:val="none" w:sz="0" w:space="0" w:color="auto"/>
      </w:divBdr>
    </w:div>
    <w:div w:id="261764525">
      <w:bodyDiv w:val="1"/>
      <w:marLeft w:val="0"/>
      <w:marRight w:val="0"/>
      <w:marTop w:val="0"/>
      <w:marBottom w:val="0"/>
      <w:divBdr>
        <w:top w:val="none" w:sz="0" w:space="0" w:color="auto"/>
        <w:left w:val="none" w:sz="0" w:space="0" w:color="auto"/>
        <w:bottom w:val="none" w:sz="0" w:space="0" w:color="auto"/>
        <w:right w:val="none" w:sz="0" w:space="0" w:color="auto"/>
      </w:divBdr>
    </w:div>
    <w:div w:id="271672897">
      <w:bodyDiv w:val="1"/>
      <w:marLeft w:val="0"/>
      <w:marRight w:val="0"/>
      <w:marTop w:val="0"/>
      <w:marBottom w:val="0"/>
      <w:divBdr>
        <w:top w:val="none" w:sz="0" w:space="0" w:color="auto"/>
        <w:left w:val="none" w:sz="0" w:space="0" w:color="auto"/>
        <w:bottom w:val="none" w:sz="0" w:space="0" w:color="auto"/>
        <w:right w:val="none" w:sz="0" w:space="0" w:color="auto"/>
      </w:divBdr>
    </w:div>
    <w:div w:id="711147938">
      <w:bodyDiv w:val="1"/>
      <w:marLeft w:val="0"/>
      <w:marRight w:val="0"/>
      <w:marTop w:val="0"/>
      <w:marBottom w:val="0"/>
      <w:divBdr>
        <w:top w:val="none" w:sz="0" w:space="0" w:color="auto"/>
        <w:left w:val="none" w:sz="0" w:space="0" w:color="auto"/>
        <w:bottom w:val="none" w:sz="0" w:space="0" w:color="auto"/>
        <w:right w:val="none" w:sz="0" w:space="0" w:color="auto"/>
      </w:divBdr>
      <w:divsChild>
        <w:div w:id="901057564">
          <w:marLeft w:val="0"/>
          <w:marRight w:val="0"/>
          <w:marTop w:val="0"/>
          <w:marBottom w:val="0"/>
          <w:divBdr>
            <w:top w:val="single" w:sz="12" w:space="0" w:color="D2D2D2"/>
            <w:left w:val="single" w:sz="12" w:space="0" w:color="D2D2D2"/>
            <w:bottom w:val="single" w:sz="12" w:space="0" w:color="D2D2D2"/>
            <w:right w:val="single" w:sz="12" w:space="0" w:color="D2D2D2"/>
          </w:divBdr>
          <w:divsChild>
            <w:div w:id="1145855746">
              <w:marLeft w:val="0"/>
              <w:marRight w:val="0"/>
              <w:marTop w:val="0"/>
              <w:marBottom w:val="0"/>
              <w:divBdr>
                <w:top w:val="none" w:sz="0" w:space="0" w:color="auto"/>
                <w:left w:val="none" w:sz="0" w:space="0" w:color="auto"/>
                <w:bottom w:val="none" w:sz="0" w:space="0" w:color="auto"/>
                <w:right w:val="none" w:sz="0" w:space="0" w:color="auto"/>
              </w:divBdr>
            </w:div>
            <w:div w:id="186779492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937830161">
      <w:bodyDiv w:val="1"/>
      <w:marLeft w:val="0"/>
      <w:marRight w:val="0"/>
      <w:marTop w:val="0"/>
      <w:marBottom w:val="0"/>
      <w:divBdr>
        <w:top w:val="none" w:sz="0" w:space="0" w:color="auto"/>
        <w:left w:val="none" w:sz="0" w:space="0" w:color="auto"/>
        <w:bottom w:val="none" w:sz="0" w:space="0" w:color="auto"/>
        <w:right w:val="none" w:sz="0" w:space="0" w:color="auto"/>
      </w:divBdr>
      <w:divsChild>
        <w:div w:id="806358489">
          <w:marLeft w:val="0"/>
          <w:marRight w:val="0"/>
          <w:marTop w:val="100"/>
          <w:marBottom w:val="0"/>
          <w:divBdr>
            <w:top w:val="none" w:sz="0" w:space="0" w:color="auto"/>
            <w:left w:val="none" w:sz="0" w:space="0" w:color="auto"/>
            <w:bottom w:val="none" w:sz="0" w:space="0" w:color="auto"/>
            <w:right w:val="none" w:sz="0" w:space="0" w:color="auto"/>
          </w:divBdr>
          <w:divsChild>
            <w:div w:id="463734432">
              <w:marLeft w:val="0"/>
              <w:marRight w:val="0"/>
              <w:marTop w:val="60"/>
              <w:marBottom w:val="0"/>
              <w:divBdr>
                <w:top w:val="none" w:sz="0" w:space="0" w:color="auto"/>
                <w:left w:val="none" w:sz="0" w:space="0" w:color="auto"/>
                <w:bottom w:val="none" w:sz="0" w:space="0" w:color="auto"/>
                <w:right w:val="none" w:sz="0" w:space="0" w:color="auto"/>
              </w:divBdr>
            </w:div>
          </w:divsChild>
        </w:div>
        <w:div w:id="1229805409">
          <w:marLeft w:val="0"/>
          <w:marRight w:val="0"/>
          <w:marTop w:val="0"/>
          <w:marBottom w:val="0"/>
          <w:divBdr>
            <w:top w:val="none" w:sz="0" w:space="0" w:color="auto"/>
            <w:left w:val="none" w:sz="0" w:space="0" w:color="auto"/>
            <w:bottom w:val="none" w:sz="0" w:space="0" w:color="auto"/>
            <w:right w:val="none" w:sz="0" w:space="0" w:color="auto"/>
          </w:divBdr>
          <w:divsChild>
            <w:div w:id="214246217">
              <w:marLeft w:val="0"/>
              <w:marRight w:val="0"/>
              <w:marTop w:val="0"/>
              <w:marBottom w:val="0"/>
              <w:divBdr>
                <w:top w:val="none" w:sz="0" w:space="0" w:color="auto"/>
                <w:left w:val="none" w:sz="0" w:space="0" w:color="auto"/>
                <w:bottom w:val="none" w:sz="0" w:space="0" w:color="auto"/>
                <w:right w:val="none" w:sz="0" w:space="0" w:color="auto"/>
              </w:divBdr>
              <w:divsChild>
                <w:div w:id="1155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1229">
      <w:bodyDiv w:val="1"/>
      <w:marLeft w:val="0"/>
      <w:marRight w:val="0"/>
      <w:marTop w:val="0"/>
      <w:marBottom w:val="0"/>
      <w:divBdr>
        <w:top w:val="none" w:sz="0" w:space="0" w:color="auto"/>
        <w:left w:val="none" w:sz="0" w:space="0" w:color="auto"/>
        <w:bottom w:val="none" w:sz="0" w:space="0" w:color="auto"/>
        <w:right w:val="none" w:sz="0" w:space="0" w:color="auto"/>
      </w:divBdr>
    </w:div>
    <w:div w:id="1002513193">
      <w:bodyDiv w:val="1"/>
      <w:marLeft w:val="0"/>
      <w:marRight w:val="0"/>
      <w:marTop w:val="0"/>
      <w:marBottom w:val="0"/>
      <w:divBdr>
        <w:top w:val="none" w:sz="0" w:space="0" w:color="auto"/>
        <w:left w:val="none" w:sz="0" w:space="0" w:color="auto"/>
        <w:bottom w:val="none" w:sz="0" w:space="0" w:color="auto"/>
        <w:right w:val="none" w:sz="0" w:space="0" w:color="auto"/>
      </w:divBdr>
    </w:div>
    <w:div w:id="1153988147">
      <w:bodyDiv w:val="1"/>
      <w:marLeft w:val="0"/>
      <w:marRight w:val="0"/>
      <w:marTop w:val="0"/>
      <w:marBottom w:val="0"/>
      <w:divBdr>
        <w:top w:val="none" w:sz="0" w:space="0" w:color="auto"/>
        <w:left w:val="none" w:sz="0" w:space="0" w:color="auto"/>
        <w:bottom w:val="none" w:sz="0" w:space="0" w:color="auto"/>
        <w:right w:val="none" w:sz="0" w:space="0" w:color="auto"/>
      </w:divBdr>
    </w:div>
    <w:div w:id="1335651430">
      <w:bodyDiv w:val="1"/>
      <w:marLeft w:val="0"/>
      <w:marRight w:val="0"/>
      <w:marTop w:val="0"/>
      <w:marBottom w:val="0"/>
      <w:divBdr>
        <w:top w:val="none" w:sz="0" w:space="0" w:color="auto"/>
        <w:left w:val="none" w:sz="0" w:space="0" w:color="auto"/>
        <w:bottom w:val="none" w:sz="0" w:space="0" w:color="auto"/>
        <w:right w:val="none" w:sz="0" w:space="0" w:color="auto"/>
      </w:divBdr>
    </w:div>
    <w:div w:id="1762946789">
      <w:bodyDiv w:val="1"/>
      <w:marLeft w:val="0"/>
      <w:marRight w:val="0"/>
      <w:marTop w:val="0"/>
      <w:marBottom w:val="0"/>
      <w:divBdr>
        <w:top w:val="none" w:sz="0" w:space="0" w:color="auto"/>
        <w:left w:val="none" w:sz="0" w:space="0" w:color="auto"/>
        <w:bottom w:val="none" w:sz="0" w:space="0" w:color="auto"/>
        <w:right w:val="none" w:sz="0" w:space="0" w:color="auto"/>
      </w:divBdr>
    </w:div>
    <w:div w:id="1786539318">
      <w:bodyDiv w:val="1"/>
      <w:marLeft w:val="0"/>
      <w:marRight w:val="0"/>
      <w:marTop w:val="0"/>
      <w:marBottom w:val="0"/>
      <w:divBdr>
        <w:top w:val="none" w:sz="0" w:space="0" w:color="auto"/>
        <w:left w:val="none" w:sz="0" w:space="0" w:color="auto"/>
        <w:bottom w:val="none" w:sz="0" w:space="0" w:color="auto"/>
        <w:right w:val="none" w:sz="0" w:space="0" w:color="auto"/>
      </w:divBdr>
    </w:div>
    <w:div w:id="1866166969">
      <w:bodyDiv w:val="1"/>
      <w:marLeft w:val="0"/>
      <w:marRight w:val="0"/>
      <w:marTop w:val="0"/>
      <w:marBottom w:val="0"/>
      <w:divBdr>
        <w:top w:val="none" w:sz="0" w:space="0" w:color="auto"/>
        <w:left w:val="none" w:sz="0" w:space="0" w:color="auto"/>
        <w:bottom w:val="none" w:sz="0" w:space="0" w:color="auto"/>
        <w:right w:val="none" w:sz="0" w:space="0" w:color="auto"/>
      </w:divBdr>
    </w:div>
    <w:div w:id="19914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655B7-48E3-436B-B733-726E9A21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3442</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Ecaterina Mihalcean</dc:creator>
  <cp:lastModifiedBy>Scurtu Alexandru</cp:lastModifiedBy>
  <cp:revision>3</cp:revision>
  <cp:lastPrinted>2023-11-07T13:29:00Z</cp:lastPrinted>
  <dcterms:created xsi:type="dcterms:W3CDTF">2024-07-12T10:36:00Z</dcterms:created>
  <dcterms:modified xsi:type="dcterms:W3CDTF">2024-07-19T08:04:00Z</dcterms:modified>
</cp:coreProperties>
</file>