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62F594" w14:textId="77777777" w:rsidR="003B436A" w:rsidRPr="00F7500B" w:rsidRDefault="003B436A" w:rsidP="003B436A">
      <w:pPr>
        <w:pStyle w:val="Heading1a"/>
        <w:spacing w:after="0"/>
        <w:rPr>
          <w:rFonts w:ascii="Cambria" w:hAnsi="Cambria" w:cs="Arial"/>
          <w:sz w:val="24"/>
          <w:szCs w:val="24"/>
        </w:rPr>
      </w:pPr>
      <w:r w:rsidRPr="00F7500B">
        <w:rPr>
          <w:rFonts w:ascii="Cambria" w:hAnsi="Cambria" w:cs="Arial"/>
          <w:sz w:val="24"/>
          <w:szCs w:val="24"/>
        </w:rPr>
        <w:t>Request for expression of interest</w:t>
      </w:r>
    </w:p>
    <w:p w14:paraId="2E741F02" w14:textId="77777777" w:rsidR="003B436A" w:rsidRPr="00F7500B" w:rsidRDefault="003B436A" w:rsidP="003B436A">
      <w:pPr>
        <w:pStyle w:val="Heading1a"/>
        <w:spacing w:after="0"/>
        <w:rPr>
          <w:rFonts w:ascii="Cambria" w:hAnsi="Cambria" w:cs="Arial"/>
          <w:sz w:val="24"/>
          <w:szCs w:val="24"/>
        </w:rPr>
      </w:pPr>
      <w:r w:rsidRPr="00F7500B">
        <w:rPr>
          <w:rFonts w:ascii="Cambria" w:hAnsi="Cambria" w:cs="Arial"/>
          <w:sz w:val="24"/>
          <w:szCs w:val="24"/>
        </w:rPr>
        <w:t>(Consulting companies)</w:t>
      </w:r>
    </w:p>
    <w:p w14:paraId="37D66D50" w14:textId="23BE5227" w:rsidR="003B436A" w:rsidRPr="00F7500B" w:rsidRDefault="003B436A" w:rsidP="003B436A">
      <w:pPr>
        <w:pStyle w:val="Heading1a"/>
        <w:spacing w:after="0"/>
        <w:rPr>
          <w:rFonts w:ascii="Cambria" w:hAnsi="Cambria" w:cs="Arial"/>
          <w:sz w:val="24"/>
          <w:szCs w:val="24"/>
        </w:rPr>
      </w:pPr>
      <w:r w:rsidRPr="00F7500B">
        <w:rPr>
          <w:rFonts w:ascii="Cambria" w:hAnsi="Cambria" w:cs="Arial"/>
          <w:sz w:val="24"/>
          <w:szCs w:val="24"/>
        </w:rPr>
        <w:t>Republic of Moldova</w:t>
      </w:r>
    </w:p>
    <w:p w14:paraId="57626FCB" w14:textId="77777777" w:rsidR="003B436A" w:rsidRPr="00F7500B" w:rsidRDefault="003B436A" w:rsidP="00F209ED">
      <w:pPr>
        <w:jc w:val="center"/>
        <w:rPr>
          <w:rFonts w:ascii="Cambria" w:hAnsi="Cambria"/>
        </w:rPr>
      </w:pPr>
    </w:p>
    <w:p w14:paraId="13FC1D59" w14:textId="5E745CD7" w:rsidR="00F209ED" w:rsidRPr="00F7500B" w:rsidRDefault="00F209ED" w:rsidP="00F209ED">
      <w:pPr>
        <w:rPr>
          <w:rFonts w:ascii="Cambria" w:hAnsi="Cambria"/>
          <w:color w:val="4472C4" w:themeColor="accent1"/>
          <w:sz w:val="20"/>
          <w:szCs w:val="20"/>
        </w:rPr>
      </w:pPr>
      <w:r w:rsidRPr="00F7500B">
        <w:rPr>
          <w:rFonts w:ascii="Cambria" w:hAnsi="Cambria"/>
          <w:color w:val="4472C4" w:themeColor="accent1"/>
          <w:sz w:val="20"/>
          <w:szCs w:val="20"/>
        </w:rPr>
        <w:t>Tender</w:t>
      </w:r>
      <w:r w:rsidRPr="00F7500B">
        <w:rPr>
          <w:rFonts w:ascii="Cambria" w:hAnsi="Cambria"/>
          <w:color w:val="4472C4" w:themeColor="accent1"/>
          <w:sz w:val="20"/>
          <w:szCs w:val="20"/>
        </w:rPr>
        <w:t>:</w:t>
      </w:r>
      <w:r w:rsidRPr="00F7500B">
        <w:rPr>
          <w:rFonts w:ascii="Cambria" w:hAnsi="Cambria"/>
          <w:color w:val="4472C4" w:themeColor="accent1"/>
          <w:sz w:val="20"/>
          <w:szCs w:val="20"/>
        </w:rPr>
        <w:t xml:space="preserve"> 42/24 TRTP</w:t>
      </w:r>
    </w:p>
    <w:p w14:paraId="49FEA64A" w14:textId="4FEF0824" w:rsidR="00F209ED" w:rsidRPr="00F7500B" w:rsidRDefault="00F209ED" w:rsidP="00F209ED">
      <w:pPr>
        <w:rPr>
          <w:rFonts w:ascii="Cambria" w:hAnsi="Cambria"/>
          <w:color w:val="4472C4" w:themeColor="accent1"/>
          <w:sz w:val="20"/>
          <w:szCs w:val="20"/>
        </w:rPr>
      </w:pPr>
      <w:r w:rsidRPr="00F7500B">
        <w:rPr>
          <w:rFonts w:ascii="Cambria" w:hAnsi="Cambria"/>
          <w:color w:val="4472C4" w:themeColor="accent1"/>
          <w:sz w:val="20"/>
          <w:szCs w:val="20"/>
        </w:rPr>
        <w:t>Reference No. MDA-2000002242-0046-CS-CQS</w:t>
      </w:r>
      <w:r w:rsidRPr="00F7500B">
        <w:rPr>
          <w:rFonts w:ascii="Cambria" w:hAnsi="Cambria"/>
          <w:color w:val="4472C4" w:themeColor="accent1"/>
          <w:sz w:val="20"/>
          <w:szCs w:val="20"/>
        </w:rPr>
        <w:t xml:space="preserve">                                                                                                 </w:t>
      </w:r>
      <w:r w:rsidR="00BD0982">
        <w:rPr>
          <w:rFonts w:ascii="Cambria" w:hAnsi="Cambria"/>
          <w:color w:val="4472C4" w:themeColor="accent1"/>
          <w:sz w:val="20"/>
          <w:szCs w:val="20"/>
        </w:rPr>
        <w:t xml:space="preserve">            </w:t>
      </w:r>
      <w:r w:rsidRPr="00F7500B">
        <w:rPr>
          <w:rFonts w:ascii="Cambria" w:hAnsi="Cambria"/>
          <w:color w:val="4472C4" w:themeColor="accent1"/>
          <w:sz w:val="20"/>
          <w:szCs w:val="20"/>
        </w:rPr>
        <w:t xml:space="preserve">       Chisinau</w:t>
      </w:r>
    </w:p>
    <w:p w14:paraId="270A5836" w14:textId="103ACC1A" w:rsidR="00F209ED" w:rsidRPr="00F7500B" w:rsidRDefault="00F209ED" w:rsidP="00F209ED">
      <w:pPr>
        <w:rPr>
          <w:rFonts w:ascii="Cambria" w:hAnsi="Cambria"/>
          <w:color w:val="4472C4" w:themeColor="accent1"/>
          <w:sz w:val="20"/>
          <w:szCs w:val="20"/>
        </w:rPr>
      </w:pPr>
      <w:r w:rsidRPr="00F7500B">
        <w:rPr>
          <w:rFonts w:ascii="Cambria" w:hAnsi="Cambria"/>
          <w:color w:val="4472C4" w:themeColor="accent1"/>
          <w:sz w:val="20"/>
          <w:szCs w:val="20"/>
        </w:rPr>
        <w:t>AWPB – 1.2.1.1.</w:t>
      </w:r>
      <w:r w:rsidRPr="00F7500B">
        <w:rPr>
          <w:rFonts w:ascii="Cambria" w:hAnsi="Cambria"/>
          <w:color w:val="4472C4" w:themeColor="accent1"/>
          <w:sz w:val="20"/>
          <w:szCs w:val="20"/>
        </w:rPr>
        <w:t xml:space="preserve">                                                                                                                                         </w:t>
      </w:r>
      <w:r w:rsidR="00BD0982">
        <w:rPr>
          <w:rFonts w:ascii="Cambria" w:hAnsi="Cambria"/>
          <w:color w:val="4472C4" w:themeColor="accent1"/>
          <w:sz w:val="20"/>
          <w:szCs w:val="20"/>
        </w:rPr>
        <w:t xml:space="preserve">                    </w:t>
      </w:r>
      <w:r w:rsidRPr="00F7500B">
        <w:rPr>
          <w:rFonts w:ascii="Cambria" w:hAnsi="Cambria"/>
          <w:color w:val="4472C4" w:themeColor="accent1"/>
          <w:sz w:val="20"/>
          <w:szCs w:val="20"/>
        </w:rPr>
        <w:t xml:space="preserve">               19.07.2024                                                                                     </w:t>
      </w:r>
    </w:p>
    <w:p w14:paraId="0402E7B5" w14:textId="77777777" w:rsidR="00F209ED" w:rsidRPr="00F7500B" w:rsidRDefault="00F209ED" w:rsidP="00F209ED">
      <w:pPr>
        <w:suppressAutoHyphens/>
        <w:spacing w:before="240"/>
        <w:jc w:val="center"/>
        <w:rPr>
          <w:rFonts w:ascii="Cambria" w:hAnsi="Cambria" w:cs="Arial"/>
          <w:b/>
        </w:rPr>
      </w:pPr>
      <w:r w:rsidRPr="00F7500B">
        <w:rPr>
          <w:rFonts w:ascii="Cambria" w:hAnsi="Cambria" w:cs="Arial"/>
          <w:b/>
        </w:rPr>
        <w:t>Selection of Potential Value Chains and Value Chain Analysis (VCA)</w:t>
      </w:r>
    </w:p>
    <w:p w14:paraId="15EACFE6" w14:textId="77777777" w:rsidR="00F209ED" w:rsidRPr="00F7500B" w:rsidRDefault="00F209ED" w:rsidP="00F209ED">
      <w:pPr>
        <w:suppressAutoHyphens/>
        <w:rPr>
          <w:rFonts w:ascii="Cambria" w:hAnsi="Cambria" w:cs="Arial"/>
          <w:b/>
          <w:color w:val="4472C4" w:themeColor="accent1"/>
          <w:sz w:val="22"/>
          <w:szCs w:val="22"/>
        </w:rPr>
      </w:pPr>
    </w:p>
    <w:p w14:paraId="27304146" w14:textId="30B3FD23" w:rsidR="003B436A" w:rsidRPr="00F7500B" w:rsidRDefault="003B436A" w:rsidP="00A7255F">
      <w:pPr>
        <w:suppressAutoHyphens/>
        <w:spacing w:before="240"/>
        <w:jc w:val="both"/>
        <w:rPr>
          <w:rFonts w:ascii="Cambria" w:hAnsi="Cambria" w:cs="Arial"/>
          <w:spacing w:val="-2"/>
        </w:rPr>
      </w:pPr>
      <w:r w:rsidRPr="00F7500B">
        <w:rPr>
          <w:rFonts w:ascii="Cambria" w:hAnsi="Cambria" w:cs="Arial"/>
          <w:spacing w:val="-2"/>
        </w:rPr>
        <w:t>The Government of the Republic of Moldova has received funding from the International Fund for Agricultural Development (IFAD) for the cost of the Rural Capacity Improvement Project and intends to apply part of the proceeds to contract consulting services.</w:t>
      </w:r>
    </w:p>
    <w:p w14:paraId="0144E8A9" w14:textId="77777777" w:rsidR="003B436A" w:rsidRPr="00F7500B" w:rsidRDefault="003B436A" w:rsidP="00A7255F">
      <w:pPr>
        <w:suppressAutoHyphens/>
        <w:spacing w:before="240"/>
        <w:jc w:val="both"/>
        <w:rPr>
          <w:rFonts w:ascii="Cambria" w:hAnsi="Cambria" w:cs="Arial"/>
          <w:spacing w:val="-2"/>
        </w:rPr>
      </w:pPr>
      <w:r w:rsidRPr="00F7500B">
        <w:rPr>
          <w:rFonts w:ascii="Cambria" w:hAnsi="Cambria" w:cs="Arial"/>
          <w:spacing w:val="-2"/>
        </w:rPr>
        <w:t>The use of any IFAD funding will be subject to IFAD approval, in accordance with the terms and conditions of the financing agreement, as well as the IFAD rules, policies and procedures. IFAD and its officials, agents and employees will be liable to and against all lawsuits, proceedings, claims, claims, losses and liability of any kind or nature brought by any party in connection with TRTP.</w:t>
      </w:r>
    </w:p>
    <w:p w14:paraId="7F12FDA5" w14:textId="1AFD22E0" w:rsidR="00F209ED" w:rsidRPr="00F7500B" w:rsidRDefault="00F209ED" w:rsidP="00F209ED">
      <w:pPr>
        <w:suppressAutoHyphens/>
        <w:spacing w:before="240"/>
        <w:jc w:val="both"/>
        <w:rPr>
          <w:rFonts w:ascii="Cambria" w:hAnsi="Cambria" w:cs="Arial"/>
          <w:spacing w:val="-2"/>
        </w:rPr>
      </w:pPr>
      <w:r w:rsidRPr="00F7500B">
        <w:rPr>
          <w:rFonts w:ascii="Cambria" w:hAnsi="Cambria" w:cs="Arial"/>
          <w:spacing w:val="-2"/>
        </w:rPr>
        <w:t>The agricultural sector is the backbone of the Moldovan economy, contributing 11 percent of GDP, 22 percent of employment, and 45 percent of exports. Small farms with less than 3 ha of land constitute 95 percent of the total 900,000 farms. The remaining 5 percent of farms are composed of commercial medium-sized farms of</w:t>
      </w:r>
      <w:r w:rsidRPr="00F7500B">
        <w:rPr>
          <w:rFonts w:ascii="Cambria" w:hAnsi="Cambria" w:cs="Arial"/>
          <w:spacing w:val="-2"/>
        </w:rPr>
        <w:t xml:space="preserve"> </w:t>
      </w:r>
      <w:r w:rsidRPr="00F7500B">
        <w:rPr>
          <w:rFonts w:ascii="Cambria" w:hAnsi="Cambria" w:cs="Arial"/>
          <w:spacing w:val="-2"/>
        </w:rPr>
        <w:t>3 to 50 ha and large farms of more than 50 ha, with the concept of Family Farming reaching up to 70 ha. While small farms generate 71% of all agriculture output, they are mostly engaged in subsistence and semi-subsistence farming and diversify their income with pensions, wage employment and remittances. The lack of jobs, particularly in the rural areas, is driving substantial outmigration of young people, which in turn contributes to an ageing population.</w:t>
      </w:r>
    </w:p>
    <w:p w14:paraId="611E91C8" w14:textId="1699A76B" w:rsidR="00F209ED" w:rsidRPr="00F7500B" w:rsidRDefault="00F209ED" w:rsidP="00F209ED">
      <w:pPr>
        <w:suppressAutoHyphens/>
        <w:spacing w:before="240"/>
        <w:jc w:val="both"/>
        <w:rPr>
          <w:rFonts w:ascii="Cambria" w:hAnsi="Cambria" w:cs="Arial"/>
          <w:spacing w:val="-2"/>
        </w:rPr>
      </w:pPr>
      <w:r w:rsidRPr="00F7500B">
        <w:rPr>
          <w:rFonts w:ascii="Cambria" w:hAnsi="Cambria" w:cs="Arial"/>
          <w:spacing w:val="-2"/>
        </w:rPr>
        <w:t>Transition from semi-subsistence to commercial agriculture has been slow, because of the small size of land plots (0.85 ha on average), vulnerability to climate change and associated shocks, lack of access to services and finance, barriers for entering modern markets, lack of access to water and irrigation facilities, as well as livelihood strategies that table on subsistence agriculture as a safety net.</w:t>
      </w:r>
    </w:p>
    <w:p w14:paraId="2534A2C9" w14:textId="478D69EE" w:rsidR="00F209ED" w:rsidRPr="00F7500B" w:rsidRDefault="003B436A" w:rsidP="00F209ED">
      <w:pPr>
        <w:suppressAutoHyphens/>
        <w:spacing w:before="240"/>
        <w:jc w:val="both"/>
        <w:rPr>
          <w:rFonts w:ascii="Cambria" w:hAnsi="Cambria" w:cs="Arial"/>
          <w:spacing w:val="-2"/>
        </w:rPr>
      </w:pPr>
      <w:r w:rsidRPr="00F7500B">
        <w:rPr>
          <w:rFonts w:ascii="Cambria" w:hAnsi="Cambria" w:cs="Arial"/>
          <w:spacing w:val="-2"/>
        </w:rPr>
        <w:t xml:space="preserve">Consulting services ("services") include </w:t>
      </w:r>
      <w:r w:rsidR="00F209ED" w:rsidRPr="00F7500B">
        <w:rPr>
          <w:rFonts w:ascii="Cambria" w:hAnsi="Cambria" w:cs="Arial"/>
          <w:spacing w:val="-2"/>
        </w:rPr>
        <w:t>identify priority high value agriculture value chains that could be promoted by AGRI-M, based on a rapid mapping and ranking of potential commodities</w:t>
      </w:r>
      <w:r w:rsidR="00F209ED" w:rsidRPr="00F7500B">
        <w:rPr>
          <w:rFonts w:ascii="Cambria" w:hAnsi="Cambria" w:cs="Arial"/>
          <w:spacing w:val="-2"/>
        </w:rPr>
        <w:t xml:space="preserve">, </w:t>
      </w:r>
      <w:r w:rsidR="00F209ED" w:rsidRPr="00F7500B">
        <w:rPr>
          <w:rFonts w:ascii="Cambria" w:hAnsi="Cambria" w:cs="Arial"/>
          <w:spacing w:val="-2"/>
        </w:rPr>
        <w:t>select the four most promising ones, based on ranking against selection criteria;</w:t>
      </w:r>
    </w:p>
    <w:p w14:paraId="1A446780" w14:textId="77777777" w:rsidR="00F209ED" w:rsidRPr="00F7500B" w:rsidRDefault="00F209ED" w:rsidP="00F209ED">
      <w:pPr>
        <w:suppressAutoHyphens/>
        <w:spacing w:before="240"/>
        <w:jc w:val="both"/>
        <w:rPr>
          <w:rFonts w:ascii="Cambria" w:hAnsi="Cambria" w:cs="Arial"/>
          <w:spacing w:val="-2"/>
        </w:rPr>
      </w:pPr>
      <w:r w:rsidRPr="00F7500B">
        <w:rPr>
          <w:rFonts w:ascii="Cambria" w:hAnsi="Cambria" w:cs="Arial"/>
          <w:spacing w:val="-2"/>
        </w:rPr>
        <w:t>conduct a value chain analysis for each of the selected commodities and provide recommendations as to priority interventions to be financed by AGRI-M;</w:t>
      </w:r>
    </w:p>
    <w:p w14:paraId="26DB9C63" w14:textId="74931CA9" w:rsidR="003B436A" w:rsidRPr="00F7500B" w:rsidRDefault="003B436A" w:rsidP="00F209ED">
      <w:pPr>
        <w:suppressAutoHyphens/>
        <w:spacing w:before="240"/>
        <w:jc w:val="both"/>
        <w:rPr>
          <w:rFonts w:ascii="Cambria" w:hAnsi="Cambria" w:cs="Arial"/>
          <w:spacing w:val="-2"/>
        </w:rPr>
      </w:pPr>
      <w:r w:rsidRPr="00F7500B">
        <w:rPr>
          <w:rFonts w:ascii="Cambria" w:hAnsi="Cambria" w:cs="Arial"/>
          <w:spacing w:val="-2"/>
        </w:rPr>
        <w:t xml:space="preserve">The overall objective of this activity </w:t>
      </w:r>
      <w:r w:rsidR="00F209ED" w:rsidRPr="00F7500B">
        <w:rPr>
          <w:rFonts w:ascii="Cambria" w:hAnsi="Cambria" w:cs="Arial"/>
          <w:spacing w:val="-2"/>
        </w:rPr>
        <w:t>are:</w:t>
      </w:r>
    </w:p>
    <w:p w14:paraId="2FFEFD5C" w14:textId="3E32AB04" w:rsidR="00F209ED" w:rsidRPr="00F7500B" w:rsidRDefault="00F209ED" w:rsidP="00F209ED">
      <w:pPr>
        <w:pStyle w:val="ListParagraph"/>
        <w:numPr>
          <w:ilvl w:val="0"/>
          <w:numId w:val="18"/>
        </w:numPr>
        <w:suppressAutoHyphens/>
        <w:spacing w:before="240"/>
        <w:jc w:val="both"/>
        <w:rPr>
          <w:rFonts w:ascii="Cambria" w:hAnsi="Cambria" w:cs="Arial"/>
          <w:spacing w:val="-2"/>
        </w:rPr>
      </w:pPr>
      <w:r w:rsidRPr="00F7500B">
        <w:rPr>
          <w:rFonts w:ascii="Cambria" w:hAnsi="Cambria" w:cs="Arial"/>
          <w:spacing w:val="-2"/>
        </w:rPr>
        <w:t>Phase 1: The pre-selection of value chains will be based on a desk review of existing value chain and competitiveness analyses.</w:t>
      </w:r>
    </w:p>
    <w:p w14:paraId="3E81D689" w14:textId="4B31B204" w:rsidR="00F209ED" w:rsidRPr="00F7500B" w:rsidRDefault="00615E0B" w:rsidP="00F209ED">
      <w:pPr>
        <w:pStyle w:val="ListParagraph"/>
        <w:numPr>
          <w:ilvl w:val="0"/>
          <w:numId w:val="18"/>
        </w:numPr>
        <w:suppressAutoHyphens/>
        <w:spacing w:before="240"/>
        <w:jc w:val="both"/>
        <w:rPr>
          <w:rFonts w:ascii="Cambria" w:hAnsi="Cambria" w:cs="Arial"/>
          <w:spacing w:val="-2"/>
        </w:rPr>
      </w:pPr>
      <w:r w:rsidRPr="00F7500B">
        <w:rPr>
          <w:rFonts w:ascii="Cambria" w:hAnsi="Cambria" w:cs="Arial"/>
          <w:spacing w:val="-2"/>
        </w:rPr>
        <w:t>Phase 2:</w:t>
      </w:r>
      <w:r w:rsidRPr="00F7500B">
        <w:rPr>
          <w:rFonts w:ascii="Cambria" w:hAnsi="Cambria" w:cs="Arial"/>
          <w:spacing w:val="-2"/>
        </w:rPr>
        <w:t xml:space="preserve"> </w:t>
      </w:r>
      <w:r w:rsidRPr="00F7500B">
        <w:rPr>
          <w:rFonts w:ascii="Cambria" w:hAnsi="Cambria" w:cs="Arial"/>
          <w:spacing w:val="-2"/>
        </w:rPr>
        <w:t>Value chain analyses will be inclusive, in that it will include the systematic assessment of the barriers affecting young women and men as well as poorer/smaller producers, and the identification of the specific measures required for them to take advantage of economic opportunities.</w:t>
      </w:r>
    </w:p>
    <w:p w14:paraId="7630DB47" w14:textId="3613A159" w:rsidR="00615E0B" w:rsidRPr="00F7500B" w:rsidRDefault="00615E0B" w:rsidP="00615E0B">
      <w:pPr>
        <w:suppressAutoHyphens/>
        <w:spacing w:before="240"/>
        <w:jc w:val="both"/>
        <w:rPr>
          <w:rFonts w:ascii="Cambria" w:hAnsi="Cambria" w:cs="Arial"/>
          <w:spacing w:val="-2"/>
        </w:rPr>
      </w:pPr>
      <w:r w:rsidRPr="00F7500B">
        <w:rPr>
          <w:rFonts w:ascii="Cambria" w:hAnsi="Cambria" w:cs="Arial"/>
          <w:spacing w:val="-2"/>
        </w:rPr>
        <w:t>The deliverables for this study will be as follows:</w:t>
      </w:r>
    </w:p>
    <w:p w14:paraId="5127B2AF" w14:textId="77777777" w:rsidR="00615E0B" w:rsidRPr="00F7500B" w:rsidRDefault="00615E0B" w:rsidP="00615E0B">
      <w:pPr>
        <w:suppressAutoHyphens/>
        <w:spacing w:before="240"/>
        <w:jc w:val="both"/>
        <w:rPr>
          <w:rFonts w:ascii="Cambria" w:hAnsi="Cambria" w:cs="Arial"/>
          <w:spacing w:val="-2"/>
        </w:rPr>
      </w:pPr>
      <w:r w:rsidRPr="00F7500B">
        <w:rPr>
          <w:rFonts w:ascii="Cambria" w:hAnsi="Cambria" w:cs="Arial"/>
          <w:spacing w:val="-2"/>
        </w:rPr>
        <w:t>By the end of Phase 1, a short report with the ranking of mapped value chains, along with a brief, evidence-based justification of ranking and a summary of opportunities and constraints for each of them.</w:t>
      </w:r>
    </w:p>
    <w:p w14:paraId="7AFEBCF6" w14:textId="77777777" w:rsidR="00615E0B" w:rsidRPr="00F7500B" w:rsidRDefault="00615E0B" w:rsidP="00615E0B">
      <w:pPr>
        <w:suppressAutoHyphens/>
        <w:jc w:val="both"/>
        <w:rPr>
          <w:rFonts w:ascii="Cambria" w:hAnsi="Cambria" w:cs="Arial"/>
          <w:spacing w:val="-2"/>
        </w:rPr>
      </w:pPr>
      <w:r w:rsidRPr="00F7500B">
        <w:rPr>
          <w:rFonts w:ascii="Cambria" w:hAnsi="Cambria" w:cs="Arial"/>
          <w:spacing w:val="-2"/>
        </w:rPr>
        <w:t>For each of the detailed value chain analysis:</w:t>
      </w:r>
    </w:p>
    <w:p w14:paraId="19A41DF5" w14:textId="77777777" w:rsidR="00615E0B" w:rsidRPr="00F7500B" w:rsidRDefault="00615E0B" w:rsidP="00615E0B">
      <w:pPr>
        <w:suppressAutoHyphens/>
        <w:jc w:val="both"/>
        <w:rPr>
          <w:rFonts w:ascii="Cambria" w:hAnsi="Cambria" w:cs="Arial"/>
          <w:spacing w:val="-2"/>
        </w:rPr>
      </w:pPr>
      <w:r w:rsidRPr="00F7500B">
        <w:rPr>
          <w:rFonts w:ascii="Cambria" w:hAnsi="Cambria" w:cs="Arial"/>
          <w:spacing w:val="-2"/>
        </w:rPr>
        <w:t>o</w:t>
      </w:r>
      <w:r w:rsidRPr="00F7500B">
        <w:rPr>
          <w:rFonts w:ascii="Cambria" w:hAnsi="Cambria" w:cs="Arial"/>
          <w:spacing w:val="-2"/>
        </w:rPr>
        <w:tab/>
        <w:t>A value chain map showing the various stakeholders, sub-chains and respective production volumes, with flows and distribution of value added;</w:t>
      </w:r>
    </w:p>
    <w:p w14:paraId="481E0BC2" w14:textId="77777777" w:rsidR="00615E0B" w:rsidRPr="00F7500B" w:rsidRDefault="00615E0B" w:rsidP="00615E0B">
      <w:pPr>
        <w:suppressAutoHyphens/>
        <w:jc w:val="both"/>
        <w:rPr>
          <w:rFonts w:ascii="Cambria" w:hAnsi="Cambria" w:cs="Arial"/>
          <w:spacing w:val="-2"/>
        </w:rPr>
      </w:pPr>
      <w:r w:rsidRPr="00F7500B">
        <w:rPr>
          <w:rFonts w:ascii="Cambria" w:hAnsi="Cambria" w:cs="Arial"/>
          <w:spacing w:val="-2"/>
        </w:rPr>
        <w:t>o</w:t>
      </w:r>
      <w:r w:rsidRPr="00F7500B">
        <w:rPr>
          <w:rFonts w:ascii="Cambria" w:hAnsi="Cambria" w:cs="Arial"/>
          <w:spacing w:val="-2"/>
        </w:rPr>
        <w:tab/>
        <w:t>Geographical maps showing main production areas across the country and possible areas of extension;</w:t>
      </w:r>
    </w:p>
    <w:p w14:paraId="43B5DD74" w14:textId="77777777" w:rsidR="00615E0B" w:rsidRPr="00F7500B" w:rsidRDefault="00615E0B" w:rsidP="00615E0B">
      <w:pPr>
        <w:suppressAutoHyphens/>
        <w:jc w:val="both"/>
        <w:rPr>
          <w:rFonts w:ascii="Cambria" w:hAnsi="Cambria" w:cs="Arial"/>
          <w:spacing w:val="-2"/>
        </w:rPr>
      </w:pPr>
      <w:r w:rsidRPr="00F7500B">
        <w:rPr>
          <w:rFonts w:ascii="Cambria" w:hAnsi="Cambria" w:cs="Arial"/>
          <w:spacing w:val="-2"/>
        </w:rPr>
        <w:t>o</w:t>
      </w:r>
      <w:r w:rsidRPr="00F7500B">
        <w:rPr>
          <w:rFonts w:ascii="Cambria" w:hAnsi="Cambria" w:cs="Arial"/>
          <w:spacing w:val="-2"/>
        </w:rPr>
        <w:tab/>
        <w:t>The value chain analysis addressing all the points in the terms of reference (maximum 25 pages without annexes).</w:t>
      </w:r>
    </w:p>
    <w:p w14:paraId="32FD8C06" w14:textId="77777777" w:rsidR="00615E0B" w:rsidRPr="00F7500B" w:rsidRDefault="00615E0B" w:rsidP="00615E0B">
      <w:pPr>
        <w:suppressAutoHyphens/>
        <w:jc w:val="both"/>
        <w:rPr>
          <w:rFonts w:ascii="Cambria" w:hAnsi="Cambria" w:cs="Arial"/>
          <w:spacing w:val="-2"/>
        </w:rPr>
      </w:pPr>
      <w:r w:rsidRPr="00F7500B">
        <w:rPr>
          <w:rFonts w:ascii="Cambria" w:hAnsi="Cambria" w:cs="Arial"/>
          <w:spacing w:val="-2"/>
        </w:rPr>
        <w:t>o</w:t>
      </w:r>
      <w:r w:rsidRPr="00F7500B">
        <w:rPr>
          <w:rFonts w:ascii="Cambria" w:hAnsi="Cambria" w:cs="Arial"/>
          <w:spacing w:val="-2"/>
        </w:rPr>
        <w:tab/>
        <w:t>A list of persons met and bibliography of sources consulted will be presented in an annex. All the documents consulted for the analysis will be made available on a shared drive.</w:t>
      </w:r>
    </w:p>
    <w:p w14:paraId="43F196B3" w14:textId="77777777" w:rsidR="00615E0B" w:rsidRPr="00F7500B" w:rsidRDefault="00615E0B" w:rsidP="00615E0B">
      <w:pPr>
        <w:suppressAutoHyphens/>
        <w:jc w:val="both"/>
        <w:rPr>
          <w:rFonts w:ascii="Cambria" w:hAnsi="Cambria" w:cs="Arial"/>
          <w:spacing w:val="-2"/>
        </w:rPr>
      </w:pPr>
      <w:r w:rsidRPr="00F7500B">
        <w:rPr>
          <w:rFonts w:ascii="Cambria" w:hAnsi="Cambria" w:cs="Arial"/>
          <w:spacing w:val="-2"/>
        </w:rPr>
        <w:t>o</w:t>
      </w:r>
      <w:r w:rsidRPr="00F7500B">
        <w:rPr>
          <w:rFonts w:ascii="Cambria" w:hAnsi="Cambria" w:cs="Arial"/>
          <w:spacing w:val="-2"/>
        </w:rPr>
        <w:tab/>
        <w:t>The amended Project Design Report for AGRI-M with the changes endorsed by the MAFI.</w:t>
      </w:r>
    </w:p>
    <w:p w14:paraId="5800B271" w14:textId="77777777" w:rsidR="00615E0B" w:rsidRPr="00F7500B" w:rsidRDefault="00615E0B" w:rsidP="00615E0B">
      <w:pPr>
        <w:suppressAutoHyphens/>
        <w:jc w:val="both"/>
        <w:rPr>
          <w:rFonts w:ascii="Cambria" w:hAnsi="Cambria" w:cs="Arial"/>
          <w:spacing w:val="-2"/>
        </w:rPr>
      </w:pPr>
    </w:p>
    <w:p w14:paraId="4989D34E" w14:textId="695F3F96" w:rsidR="00615E0B" w:rsidRPr="00F7500B" w:rsidRDefault="00615E0B" w:rsidP="00615E0B">
      <w:pPr>
        <w:suppressAutoHyphens/>
        <w:jc w:val="both"/>
        <w:rPr>
          <w:rFonts w:ascii="Cambria" w:hAnsi="Cambria" w:cs="Arial"/>
          <w:spacing w:val="-2"/>
        </w:rPr>
      </w:pPr>
      <w:r w:rsidRPr="00F7500B">
        <w:rPr>
          <w:rFonts w:ascii="Cambria" w:hAnsi="Cambria" w:cs="Arial"/>
          <w:spacing w:val="-2"/>
        </w:rPr>
        <w:t>Upon confirmation by the Ministry of Agriculture, translate into the Project Design Report of Agri-M the necessary technical and budget amendments in track-change mode, for IFAD’s review and validation.</w:t>
      </w:r>
    </w:p>
    <w:p w14:paraId="182AD34A" w14:textId="77777777" w:rsidR="00615E0B" w:rsidRPr="00F7500B" w:rsidRDefault="00615E0B" w:rsidP="00615E0B">
      <w:pPr>
        <w:suppressAutoHyphens/>
        <w:jc w:val="both"/>
        <w:rPr>
          <w:rFonts w:ascii="Cambria" w:hAnsi="Cambria" w:cs="Arial"/>
          <w:spacing w:val="-2"/>
        </w:rPr>
      </w:pPr>
    </w:p>
    <w:p w14:paraId="7DC5D719" w14:textId="270223F9" w:rsidR="00615E0B" w:rsidRPr="00F7500B" w:rsidRDefault="00615E0B" w:rsidP="00615E0B">
      <w:pPr>
        <w:suppressAutoHyphens/>
        <w:jc w:val="both"/>
        <w:rPr>
          <w:rFonts w:ascii="Cambria" w:hAnsi="Cambria" w:cs="Arial"/>
          <w:spacing w:val="-2"/>
        </w:rPr>
      </w:pPr>
      <w:r w:rsidRPr="00F7500B">
        <w:rPr>
          <w:rFonts w:ascii="Cambria" w:hAnsi="Cambria" w:cs="Arial"/>
          <w:spacing w:val="-2"/>
        </w:rPr>
        <w:t xml:space="preserve">The study will be outsourced to a consulting firm or consortium of consultants/researchers with demonstrated expertise in the agricultural/ </w:t>
      </w:r>
      <w:proofErr w:type="spellStart"/>
      <w:r w:rsidRPr="00F7500B">
        <w:rPr>
          <w:rFonts w:ascii="Cambria" w:hAnsi="Cambria" w:cs="Arial"/>
          <w:spacing w:val="-2"/>
        </w:rPr>
        <w:t>agro</w:t>
      </w:r>
      <w:proofErr w:type="spellEnd"/>
      <w:r w:rsidRPr="00F7500B">
        <w:rPr>
          <w:rFonts w:ascii="Cambria" w:hAnsi="Cambria" w:cs="Arial"/>
          <w:spacing w:val="-2"/>
        </w:rPr>
        <w:t>-processing &amp; data management &amp; statistics analysis.</w:t>
      </w:r>
    </w:p>
    <w:p w14:paraId="45E31055" w14:textId="29D9E3BA" w:rsidR="00615E0B" w:rsidRPr="00F7500B" w:rsidRDefault="00615E0B" w:rsidP="00615E0B">
      <w:pPr>
        <w:suppressAutoHyphens/>
        <w:jc w:val="both"/>
        <w:rPr>
          <w:rFonts w:ascii="Cambria" w:hAnsi="Cambria" w:cs="Arial"/>
          <w:spacing w:val="-2"/>
        </w:rPr>
      </w:pPr>
      <w:r w:rsidRPr="00F7500B">
        <w:rPr>
          <w:rFonts w:ascii="Cambria" w:hAnsi="Cambria" w:cs="Arial"/>
          <w:spacing w:val="-2"/>
        </w:rPr>
        <w:t>The duration of each value chain analysis will not exceed two (2) weeks. The final report will be made available at the latest by early September 2024.</w:t>
      </w:r>
    </w:p>
    <w:p w14:paraId="7E1933FD" w14:textId="77777777" w:rsidR="00615E0B" w:rsidRPr="00F7500B" w:rsidRDefault="00615E0B" w:rsidP="00615E0B">
      <w:pPr>
        <w:suppressAutoHyphens/>
        <w:jc w:val="both"/>
        <w:rPr>
          <w:rFonts w:ascii="Cambria" w:hAnsi="Cambria" w:cs="Arial"/>
          <w:spacing w:val="-2"/>
        </w:rPr>
      </w:pPr>
    </w:p>
    <w:p w14:paraId="2E9BAA5A" w14:textId="77777777" w:rsidR="00615E0B" w:rsidRPr="00F7500B" w:rsidRDefault="00615E0B" w:rsidP="00615E0B">
      <w:pPr>
        <w:suppressAutoHyphens/>
        <w:jc w:val="both"/>
        <w:rPr>
          <w:rFonts w:ascii="Cambria" w:hAnsi="Cambria" w:cs="Arial"/>
          <w:spacing w:val="-2"/>
        </w:rPr>
      </w:pPr>
      <w:r w:rsidRPr="00F7500B">
        <w:rPr>
          <w:rFonts w:ascii="Cambria" w:hAnsi="Cambria" w:cs="Arial"/>
          <w:spacing w:val="-2"/>
        </w:rPr>
        <w:t>Company’s experience and required qualification:</w:t>
      </w:r>
    </w:p>
    <w:p w14:paraId="24E31AEF" w14:textId="77777777" w:rsidR="00615E0B" w:rsidRPr="00F7500B" w:rsidRDefault="00615E0B" w:rsidP="00615E0B">
      <w:pPr>
        <w:suppressAutoHyphens/>
        <w:jc w:val="both"/>
        <w:rPr>
          <w:rFonts w:ascii="Cambria" w:hAnsi="Cambria" w:cs="Arial"/>
          <w:spacing w:val="-2"/>
        </w:rPr>
      </w:pPr>
      <w:r w:rsidRPr="00F7500B">
        <w:rPr>
          <w:rFonts w:ascii="Cambria" w:hAnsi="Cambria" w:cs="Arial"/>
          <w:spacing w:val="-2"/>
        </w:rPr>
        <w:t>The Service Provider shall possess the following qualifications as a company:</w:t>
      </w:r>
    </w:p>
    <w:p w14:paraId="378D0D4E" w14:textId="77777777" w:rsidR="00615E0B" w:rsidRPr="00F7500B" w:rsidRDefault="00615E0B" w:rsidP="00615E0B">
      <w:pPr>
        <w:suppressAutoHyphens/>
        <w:jc w:val="both"/>
        <w:rPr>
          <w:rFonts w:ascii="Cambria" w:hAnsi="Cambria" w:cs="Arial"/>
          <w:spacing w:val="-2"/>
        </w:rPr>
      </w:pPr>
      <w:r w:rsidRPr="00F7500B">
        <w:rPr>
          <w:rFonts w:ascii="Cambria" w:hAnsi="Cambria" w:cs="Arial"/>
          <w:spacing w:val="-2"/>
        </w:rPr>
        <w:t>•</w:t>
      </w:r>
      <w:r w:rsidRPr="00F7500B">
        <w:rPr>
          <w:rFonts w:ascii="Cambria" w:hAnsi="Cambria" w:cs="Arial"/>
          <w:spacing w:val="-2"/>
        </w:rPr>
        <w:tab/>
        <w:t xml:space="preserve">Strong capacity and experience in conducting analysis, surveys ore research in the agricultural/ ago-processing and marketing &amp; </w:t>
      </w:r>
      <w:proofErr w:type="spellStart"/>
      <w:r w:rsidRPr="00F7500B">
        <w:rPr>
          <w:rFonts w:ascii="Cambria" w:hAnsi="Cambria" w:cs="Arial"/>
          <w:spacing w:val="-2"/>
        </w:rPr>
        <w:t>agro</w:t>
      </w:r>
      <w:proofErr w:type="spellEnd"/>
      <w:r w:rsidRPr="00F7500B">
        <w:rPr>
          <w:rFonts w:ascii="Cambria" w:hAnsi="Cambria" w:cs="Arial"/>
          <w:spacing w:val="-2"/>
        </w:rPr>
        <w:t>-trade sectors in Moldova;</w:t>
      </w:r>
    </w:p>
    <w:p w14:paraId="394431F1" w14:textId="77777777" w:rsidR="00615E0B" w:rsidRPr="00F7500B" w:rsidRDefault="00615E0B" w:rsidP="00615E0B">
      <w:pPr>
        <w:suppressAutoHyphens/>
        <w:jc w:val="both"/>
        <w:rPr>
          <w:rFonts w:ascii="Cambria" w:hAnsi="Cambria" w:cs="Arial"/>
          <w:spacing w:val="-2"/>
        </w:rPr>
      </w:pPr>
      <w:r w:rsidRPr="00F7500B">
        <w:rPr>
          <w:rFonts w:ascii="Cambria" w:hAnsi="Cambria" w:cs="Arial"/>
          <w:spacing w:val="-2"/>
        </w:rPr>
        <w:t>•</w:t>
      </w:r>
      <w:r w:rsidRPr="00F7500B">
        <w:rPr>
          <w:rFonts w:ascii="Cambria" w:hAnsi="Cambria" w:cs="Arial"/>
          <w:spacing w:val="-2"/>
        </w:rPr>
        <w:tab/>
        <w:t>Deep knowledge of the value chains in the Moldovan agricultural sector; their strong and weak points; problems &amp; challenges they face as well as opportunities;</w:t>
      </w:r>
    </w:p>
    <w:p w14:paraId="083CC4C5" w14:textId="77777777" w:rsidR="00615E0B" w:rsidRPr="00F7500B" w:rsidRDefault="00615E0B" w:rsidP="00615E0B">
      <w:pPr>
        <w:suppressAutoHyphens/>
        <w:jc w:val="both"/>
        <w:rPr>
          <w:rFonts w:ascii="Cambria" w:hAnsi="Cambria" w:cs="Arial"/>
          <w:spacing w:val="-2"/>
        </w:rPr>
      </w:pPr>
      <w:r w:rsidRPr="00F7500B">
        <w:rPr>
          <w:rFonts w:ascii="Cambria" w:hAnsi="Cambria" w:cs="Arial"/>
          <w:spacing w:val="-2"/>
        </w:rPr>
        <w:t>•</w:t>
      </w:r>
      <w:r w:rsidRPr="00F7500B">
        <w:rPr>
          <w:rFonts w:ascii="Cambria" w:hAnsi="Cambria" w:cs="Arial"/>
          <w:spacing w:val="-2"/>
        </w:rPr>
        <w:tab/>
        <w:t>Have at least 5 years in conducting quantitative and qualitative surveys (minimum 5 quantitative &amp; qualitative surveys conducted during the last 5 years);</w:t>
      </w:r>
    </w:p>
    <w:p w14:paraId="6F3A0B4F" w14:textId="1E55615B" w:rsidR="00615E0B" w:rsidRPr="00F7500B" w:rsidRDefault="00615E0B" w:rsidP="00615E0B">
      <w:pPr>
        <w:suppressAutoHyphens/>
        <w:jc w:val="both"/>
        <w:rPr>
          <w:rFonts w:ascii="Cambria" w:hAnsi="Cambria" w:cs="Arial"/>
          <w:spacing w:val="-2"/>
        </w:rPr>
      </w:pPr>
      <w:r w:rsidRPr="00F7500B">
        <w:rPr>
          <w:rFonts w:ascii="Cambria" w:hAnsi="Cambria" w:cs="Arial"/>
          <w:spacing w:val="-2"/>
        </w:rPr>
        <w:t>•</w:t>
      </w:r>
      <w:r w:rsidRPr="00F7500B">
        <w:rPr>
          <w:rFonts w:ascii="Cambria" w:hAnsi="Cambria" w:cs="Arial"/>
          <w:spacing w:val="-2"/>
        </w:rPr>
        <w:tab/>
        <w:t>Strong capacity in data management, survey analysis and reporting of results;</w:t>
      </w:r>
    </w:p>
    <w:p w14:paraId="17B4C292" w14:textId="77777777" w:rsidR="00615E0B" w:rsidRPr="00F7500B" w:rsidRDefault="00615E0B" w:rsidP="00615E0B">
      <w:pPr>
        <w:suppressAutoHyphens/>
        <w:jc w:val="both"/>
        <w:rPr>
          <w:rFonts w:ascii="Cambria" w:hAnsi="Cambria" w:cs="Arial"/>
          <w:spacing w:val="-2"/>
        </w:rPr>
      </w:pPr>
    </w:p>
    <w:p w14:paraId="320BCFCD" w14:textId="56F8E3FD" w:rsidR="00615E0B" w:rsidRPr="00F7500B" w:rsidRDefault="00615E0B" w:rsidP="00615E0B">
      <w:pPr>
        <w:suppressAutoHyphens/>
        <w:jc w:val="both"/>
        <w:rPr>
          <w:rFonts w:ascii="Cambria" w:hAnsi="Cambria" w:cs="Arial"/>
          <w:spacing w:val="-2"/>
        </w:rPr>
      </w:pPr>
      <w:r w:rsidRPr="00F7500B">
        <w:rPr>
          <w:rFonts w:ascii="Cambria" w:hAnsi="Cambria" w:cs="Arial"/>
          <w:spacing w:val="-2"/>
        </w:rPr>
        <w:t>For more details regarding the task and purpose of the activity, please refer to the Terms of Reference.</w:t>
      </w:r>
    </w:p>
    <w:p w14:paraId="16EDB51C" w14:textId="77777777" w:rsidR="003B436A" w:rsidRPr="00F7500B" w:rsidRDefault="003B436A" w:rsidP="003B436A">
      <w:pPr>
        <w:suppressAutoHyphens/>
        <w:spacing w:before="240"/>
        <w:jc w:val="both"/>
        <w:rPr>
          <w:rFonts w:ascii="Cambria" w:hAnsi="Cambria" w:cs="Arial"/>
          <w:spacing w:val="-2"/>
        </w:rPr>
      </w:pPr>
      <w:r w:rsidRPr="00F7500B">
        <w:rPr>
          <w:rFonts w:ascii="Cambria" w:hAnsi="Cambria" w:cs="Arial"/>
          <w:spacing w:val="-2"/>
        </w:rPr>
        <w:t>The IFAD ("client") CPI now invites eligible consulting firms ("consultants") to show interest in providing the services. Interested consultants should provide information demonstrating that they have the necessary qualifications and relevant experience to provide the requested services. Interested companies must complete the Letter of Manifestation of Interest according to the model published at ucipifad.md/… and send it to the address indicated below.</w:t>
      </w:r>
    </w:p>
    <w:p w14:paraId="16464F30" w14:textId="4E682884" w:rsidR="003B436A" w:rsidRPr="00F7500B" w:rsidRDefault="003B436A" w:rsidP="003B436A">
      <w:pPr>
        <w:suppressAutoHyphens/>
        <w:spacing w:before="240"/>
        <w:jc w:val="both"/>
        <w:rPr>
          <w:rFonts w:ascii="Cambria" w:hAnsi="Cambria" w:cs="Arial"/>
          <w:spacing w:val="-2"/>
        </w:rPr>
      </w:pPr>
      <w:r w:rsidRPr="00F7500B">
        <w:rPr>
          <w:rFonts w:ascii="Cambria" w:hAnsi="Cambria" w:cs="Arial"/>
          <w:spacing w:val="-2"/>
        </w:rPr>
        <w:t>It draws the attention of interested consultants to IFAD's Anti-Money Laundering and Terrorist Financing Policy and IFAD's revised Fraud and Corruption Prevention Policy, its activities and operations. The latter sets out the IFAD provisions on prohibited practices. IFAD continues to strive to ensure a safe, non-harassing work environment, including sexual harassment and no sexual exploitation and abuse (SEA), in its activities and operations, as detailed in its IFAD Prevention and Response Policy. sexual harassment, sexual exploitation and abuse.</w:t>
      </w:r>
      <w:r w:rsidRPr="00F7500B">
        <w:rPr>
          <w:rFonts w:ascii="Cambria" w:hAnsi="Cambria"/>
        </w:rPr>
        <w:t xml:space="preserve"> </w:t>
      </w:r>
      <w:r w:rsidRPr="00F7500B">
        <w:rPr>
          <w:rFonts w:ascii="Cambria" w:hAnsi="Cambria" w:cs="Arial"/>
          <w:spacing w:val="-2"/>
        </w:rPr>
        <w:t>The IFAD ("client") CPI now invites eligible consulting firms ("consultants") to show interest in providing the services. Interested consultants should provide information demonstrating that they have the necessary qualifications and relevant experience to provide the requested services. Interested companies must complete the Letter of Manifestation of Interest according to the model published at ucipifad.md/… and send it to the address indicated below.</w:t>
      </w:r>
    </w:p>
    <w:p w14:paraId="2258B18A" w14:textId="77777777" w:rsidR="003B436A" w:rsidRPr="00F7500B" w:rsidRDefault="003B436A" w:rsidP="003B436A">
      <w:pPr>
        <w:suppressAutoHyphens/>
        <w:spacing w:before="240"/>
        <w:jc w:val="both"/>
        <w:rPr>
          <w:rFonts w:ascii="Cambria" w:hAnsi="Cambria" w:cs="Arial"/>
          <w:spacing w:val="-2"/>
        </w:rPr>
      </w:pPr>
      <w:r w:rsidRPr="00F7500B">
        <w:rPr>
          <w:rFonts w:ascii="Cambria" w:hAnsi="Cambria" w:cs="Arial"/>
          <w:spacing w:val="-2"/>
        </w:rPr>
        <w:t>It draws the attention of interested consultants to IFAD's Anti-Money Laundering and Terrorist Financing Policy and IFAD's revised Fraud and Corruption Prevention Policy, its activities and operations. The latter sets out the IFAD provisions on prohibited practices. IFAD continues to strive to ensure a safe, non-harassing work environment, including sexual harassment and sexual exploitation and abuse (SEA), in its activities and operations, as detailed in its IFAD Prevention and Response Policy. sexual harassment, sexual exploitation and abuse. The consultant will not have any real, potential or reasonably perceived conflict of interest. A consultant with a real, potential or reasonably perceived conflict of interest will be disqualified unless the Fund has explicitly approved otherwise. A consultant, including staff and affiliates, is considered to have a conflict of interest if a) they have a relationship that provides them with undue or undisclosed information about or influences the selection and performance of the contract, b) participates in more than an EOI in connection with this acquisition, c) have a business or family relationship with a member of the Buyer's Board of Directors or its staff, the Fund or its staff, or any other person who has been, has been or may reasonably be directly or indirectly involved in any part of (</w:t>
      </w:r>
      <w:proofErr w:type="spellStart"/>
      <w:r w:rsidRPr="00F7500B">
        <w:rPr>
          <w:rFonts w:ascii="Cambria" w:hAnsi="Cambria" w:cs="Arial"/>
          <w:spacing w:val="-2"/>
        </w:rPr>
        <w:t>i</w:t>
      </w:r>
      <w:proofErr w:type="spellEnd"/>
      <w:r w:rsidRPr="00F7500B">
        <w:rPr>
          <w:rFonts w:ascii="Cambria" w:hAnsi="Cambria" w:cs="Arial"/>
          <w:spacing w:val="-2"/>
        </w:rPr>
        <w:t>) the preparation of this REOI, (ii) the selection process or shortlist for this procurement, or (iii) the performance of the contract. The Consultant has a continuing obligation to disclose any real, potential or reasonably perceived conflict of interest during the preparation of the EOI, the selection process or the performance of the contract. Failure to properly disclose any of these situations may result in appropriate action, including disqualification of the consultant, termination of the contract and any other action as appropriate, in accordance with IFAD's Fraud and Corruption Prevention Policy in its projects and operations.</w:t>
      </w:r>
    </w:p>
    <w:p w14:paraId="35D824C0" w14:textId="4006A008" w:rsidR="00F7500B" w:rsidRPr="00F7500B" w:rsidRDefault="003B436A" w:rsidP="003B436A">
      <w:pPr>
        <w:suppressAutoHyphens/>
        <w:spacing w:before="240"/>
        <w:jc w:val="both"/>
        <w:rPr>
          <w:rFonts w:ascii="Cambria" w:hAnsi="Cambria" w:cs="Arial"/>
          <w:spacing w:val="-2"/>
        </w:rPr>
      </w:pPr>
      <w:r w:rsidRPr="00F7500B">
        <w:rPr>
          <w:rFonts w:ascii="Cambria" w:hAnsi="Cambria" w:cs="Arial"/>
          <w:spacing w:val="-2"/>
        </w:rPr>
        <w:t xml:space="preserve">The consultant (company) will be selected in accordance with the </w:t>
      </w:r>
      <w:r w:rsidR="00615E0B" w:rsidRPr="00F7500B">
        <w:rPr>
          <w:rFonts w:ascii="Cambria" w:hAnsi="Cambria" w:cs="Arial"/>
          <w:spacing w:val="-2"/>
        </w:rPr>
        <w:t>CQS</w:t>
      </w:r>
      <w:r w:rsidRPr="00F7500B">
        <w:rPr>
          <w:rFonts w:ascii="Cambria" w:hAnsi="Cambria" w:cs="Arial"/>
          <w:spacing w:val="-2"/>
        </w:rPr>
        <w:t xml:space="preserve"> procurement method set out in the IFAD Procurement Manual, which can be accessed via the IFAD website at </w:t>
      </w:r>
      <w:hyperlink r:id="rId7" w:history="1">
        <w:r w:rsidR="00E12E53" w:rsidRPr="00F7500B">
          <w:rPr>
            <w:rStyle w:val="Hyperlink"/>
            <w:rFonts w:ascii="Cambria" w:hAnsi="Cambria" w:cs="Arial"/>
            <w:spacing w:val="-2"/>
          </w:rPr>
          <w:t>www.ifad.org/project-procurement</w:t>
        </w:r>
      </w:hyperlink>
      <w:r w:rsidR="00E12E53" w:rsidRPr="00F7500B">
        <w:rPr>
          <w:rFonts w:ascii="Cambria" w:hAnsi="Cambria" w:cs="Arial"/>
          <w:spacing w:val="-2"/>
        </w:rPr>
        <w:t>.</w:t>
      </w:r>
    </w:p>
    <w:p w14:paraId="108D13F9" w14:textId="77777777" w:rsidR="00F7500B" w:rsidRPr="00F7500B" w:rsidRDefault="00F7500B" w:rsidP="003B436A">
      <w:pPr>
        <w:suppressAutoHyphens/>
        <w:spacing w:before="240"/>
        <w:jc w:val="both"/>
        <w:rPr>
          <w:rFonts w:ascii="Cambria" w:hAnsi="Cambria" w:cs="Arial"/>
          <w:spacing w:val="-2"/>
        </w:rPr>
      </w:pPr>
    </w:p>
    <w:p w14:paraId="2A7C61A1" w14:textId="3D475BCA" w:rsidR="00D75E97" w:rsidRPr="00F7500B" w:rsidRDefault="00D75E97" w:rsidP="00615E0B">
      <w:pPr>
        <w:tabs>
          <w:tab w:val="left" w:pos="450"/>
        </w:tabs>
        <w:suppressAutoHyphens/>
        <w:jc w:val="both"/>
        <w:rPr>
          <w:rFonts w:ascii="Cambria" w:hAnsi="Cambria" w:cs="Arial"/>
          <w:lang w:eastAsia="ro-RO"/>
        </w:rPr>
      </w:pPr>
    </w:p>
    <w:p w14:paraId="2A09B7E8" w14:textId="298E1C52" w:rsidR="00833B3E" w:rsidRPr="00F7500B" w:rsidRDefault="00F7500B" w:rsidP="00833B3E">
      <w:pPr>
        <w:pStyle w:val="Heading4"/>
        <w:numPr>
          <w:ilvl w:val="0"/>
          <w:numId w:val="12"/>
        </w:numPr>
        <w:tabs>
          <w:tab w:val="num" w:pos="360"/>
        </w:tabs>
        <w:ind w:left="0" w:firstLine="0"/>
        <w:rPr>
          <w:rStyle w:val="IntenseReference"/>
          <w:rFonts w:ascii="Cambria" w:hAnsi="Cambria"/>
          <w:color w:val="000000" w:themeColor="text1"/>
        </w:rPr>
      </w:pPr>
      <w:r w:rsidRPr="00F7500B">
        <w:rPr>
          <w:rStyle w:val="IntenseReference"/>
          <w:rFonts w:ascii="Cambria" w:hAnsi="Cambria"/>
          <w:color w:val="000000" w:themeColor="text1"/>
        </w:rPr>
        <w:t>Qualification criteria and experience requirements for the shortlist</w:t>
      </w:r>
    </w:p>
    <w:p w14:paraId="18BC5E95" w14:textId="77777777" w:rsidR="00F7500B" w:rsidRPr="00F7500B" w:rsidRDefault="00F7500B" w:rsidP="00F7500B">
      <w:pPr>
        <w:rPr>
          <w:rFonts w:ascii="Cambria" w:hAnsi="Cambria"/>
        </w:rPr>
      </w:pPr>
    </w:p>
    <w:tbl>
      <w:tblPr>
        <w:tblpPr w:leftFromText="180" w:rightFromText="180" w:vertAnchor="page" w:horzAnchor="margin" w:tblpXSpec="center" w:tblpY="1776"/>
        <w:tblW w:w="5000" w:type="pct"/>
        <w:tblCellMar>
          <w:left w:w="0" w:type="dxa"/>
          <w:right w:w="0" w:type="dxa"/>
        </w:tblCellMar>
        <w:tblLook w:val="04A0" w:firstRow="1" w:lastRow="0" w:firstColumn="1" w:lastColumn="0" w:noHBand="0" w:noVBand="1"/>
      </w:tblPr>
      <w:tblGrid>
        <w:gridCol w:w="8236"/>
        <w:gridCol w:w="1665"/>
      </w:tblGrid>
      <w:tr w:rsidR="00F7500B" w:rsidRPr="00F7500B" w14:paraId="781CE1CE" w14:textId="77777777" w:rsidTr="000F3B0C">
        <w:trPr>
          <w:trHeight w:val="502"/>
        </w:trPr>
        <w:tc>
          <w:tcPr>
            <w:tcW w:w="415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C2D8C5" w14:textId="15C8C035" w:rsidR="00F7500B" w:rsidRPr="00F7500B" w:rsidRDefault="00F7500B" w:rsidP="000F3B0C">
            <w:pPr>
              <w:jc w:val="center"/>
              <w:rPr>
                <w:rFonts w:ascii="Cambria" w:hAnsi="Cambria"/>
                <w:b/>
                <w:bCs/>
                <w:noProof/>
                <w:spacing w:val="-2"/>
              </w:rPr>
            </w:pPr>
            <w:bookmarkStart w:id="0" w:name="_Hlk142993110"/>
            <w:r w:rsidRPr="00F7500B">
              <w:rPr>
                <w:rFonts w:ascii="Cambria" w:hAnsi="Cambria"/>
                <w:b/>
                <w:bCs/>
                <w:noProof/>
                <w:spacing w:val="-2"/>
              </w:rPr>
              <w:t>QUALIFICATION CRITERIA</w:t>
            </w:r>
          </w:p>
        </w:tc>
        <w:tc>
          <w:tcPr>
            <w:tcW w:w="84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002D7C8" w14:textId="77777777" w:rsidR="00F7500B" w:rsidRPr="00F7500B" w:rsidRDefault="00F7500B" w:rsidP="000F3B0C">
            <w:pPr>
              <w:jc w:val="center"/>
              <w:rPr>
                <w:rFonts w:ascii="Cambria" w:hAnsi="Cambria"/>
                <w:b/>
                <w:bCs/>
                <w:noProof/>
                <w:spacing w:val="-2"/>
              </w:rPr>
            </w:pPr>
            <w:r w:rsidRPr="00F7500B">
              <w:rPr>
                <w:rFonts w:ascii="Cambria" w:hAnsi="Cambria"/>
                <w:b/>
                <w:bCs/>
                <w:noProof/>
                <w:spacing w:val="-2"/>
              </w:rPr>
              <w:t>Punctaj maxim</w:t>
            </w:r>
          </w:p>
        </w:tc>
      </w:tr>
      <w:tr w:rsidR="00F7500B" w:rsidRPr="00F7500B" w14:paraId="797AF730" w14:textId="77777777" w:rsidTr="000F3B0C">
        <w:trPr>
          <w:trHeight w:val="363"/>
        </w:trPr>
        <w:tc>
          <w:tcPr>
            <w:tcW w:w="41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0F86FD" w14:textId="77777777" w:rsidR="00F7500B" w:rsidRPr="00F7500B" w:rsidRDefault="00F7500B" w:rsidP="00F7500B">
            <w:pPr>
              <w:pStyle w:val="ListParagraph"/>
              <w:numPr>
                <w:ilvl w:val="0"/>
                <w:numId w:val="19"/>
              </w:numPr>
              <w:spacing w:before="60"/>
              <w:ind w:left="514" w:hanging="450"/>
              <w:contextualSpacing/>
              <w:jc w:val="both"/>
              <w:rPr>
                <w:rFonts w:ascii="Cambria" w:hAnsi="Cambria"/>
                <w:i/>
                <w:iCs/>
                <w:noProof/>
                <w:spacing w:val="-2"/>
              </w:rPr>
            </w:pPr>
            <w:r w:rsidRPr="00F7500B">
              <w:rPr>
                <w:rFonts w:ascii="Cambria" w:hAnsi="Cambria"/>
              </w:rPr>
              <w:t>Legal entity registered in the Republic of Moldova</w:t>
            </w:r>
          </w:p>
        </w:tc>
        <w:tc>
          <w:tcPr>
            <w:tcW w:w="841" w:type="pct"/>
            <w:tcBorders>
              <w:top w:val="nil"/>
              <w:left w:val="nil"/>
              <w:bottom w:val="single" w:sz="8" w:space="0" w:color="auto"/>
              <w:right w:val="single" w:sz="8" w:space="0" w:color="auto"/>
            </w:tcBorders>
            <w:tcMar>
              <w:top w:w="0" w:type="dxa"/>
              <w:left w:w="108" w:type="dxa"/>
              <w:bottom w:w="0" w:type="dxa"/>
              <w:right w:w="108" w:type="dxa"/>
            </w:tcMar>
            <w:vAlign w:val="center"/>
          </w:tcPr>
          <w:p w14:paraId="79BA41CB" w14:textId="77777777" w:rsidR="00F7500B" w:rsidRPr="00F7500B" w:rsidRDefault="00F7500B" w:rsidP="000F3B0C">
            <w:pPr>
              <w:jc w:val="center"/>
              <w:rPr>
                <w:rFonts w:ascii="Cambria" w:hAnsi="Cambria"/>
                <w:noProof/>
                <w:spacing w:val="-2"/>
              </w:rPr>
            </w:pPr>
            <w:r w:rsidRPr="00F7500B">
              <w:rPr>
                <w:rFonts w:ascii="Cambria" w:hAnsi="Cambria"/>
                <w:noProof/>
                <w:spacing w:val="-2"/>
              </w:rPr>
              <w:t>10</w:t>
            </w:r>
          </w:p>
        </w:tc>
      </w:tr>
      <w:tr w:rsidR="00F7500B" w:rsidRPr="00F7500B" w14:paraId="67C4B404" w14:textId="77777777" w:rsidTr="000F3B0C">
        <w:trPr>
          <w:trHeight w:val="363"/>
        </w:trPr>
        <w:tc>
          <w:tcPr>
            <w:tcW w:w="41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D69E2BF" w14:textId="77777777" w:rsidR="00F7500B" w:rsidRPr="00F7500B" w:rsidRDefault="00F7500B" w:rsidP="00F7500B">
            <w:pPr>
              <w:pStyle w:val="ListParagraph"/>
              <w:numPr>
                <w:ilvl w:val="0"/>
                <w:numId w:val="19"/>
              </w:numPr>
              <w:spacing w:before="60"/>
              <w:ind w:left="514" w:hanging="450"/>
              <w:contextualSpacing/>
              <w:jc w:val="both"/>
              <w:rPr>
                <w:rFonts w:ascii="Cambria" w:hAnsi="Cambria"/>
              </w:rPr>
            </w:pPr>
            <w:r w:rsidRPr="00F7500B">
              <w:rPr>
                <w:rFonts w:ascii="Cambria" w:hAnsi="Cambria"/>
              </w:rPr>
              <w:t>Applicant has successfully conducted a minimum 5 feasibility studies in the past 5 years. (to be confirmed)</w:t>
            </w:r>
          </w:p>
        </w:tc>
        <w:tc>
          <w:tcPr>
            <w:tcW w:w="841" w:type="pct"/>
            <w:tcBorders>
              <w:top w:val="nil"/>
              <w:left w:val="nil"/>
              <w:bottom w:val="single" w:sz="8" w:space="0" w:color="auto"/>
              <w:right w:val="single" w:sz="8" w:space="0" w:color="auto"/>
            </w:tcBorders>
            <w:tcMar>
              <w:top w:w="0" w:type="dxa"/>
              <w:left w:w="108" w:type="dxa"/>
              <w:bottom w:w="0" w:type="dxa"/>
              <w:right w:w="108" w:type="dxa"/>
            </w:tcMar>
            <w:vAlign w:val="center"/>
          </w:tcPr>
          <w:p w14:paraId="622CB265" w14:textId="77777777" w:rsidR="00F7500B" w:rsidRPr="00F7500B" w:rsidRDefault="00F7500B" w:rsidP="000F3B0C">
            <w:pPr>
              <w:jc w:val="center"/>
              <w:rPr>
                <w:rFonts w:ascii="Cambria" w:hAnsi="Cambria"/>
                <w:noProof/>
                <w:spacing w:val="-2"/>
              </w:rPr>
            </w:pPr>
            <w:r w:rsidRPr="00F7500B">
              <w:rPr>
                <w:rFonts w:ascii="Cambria" w:hAnsi="Cambria"/>
                <w:noProof/>
                <w:spacing w:val="-2"/>
              </w:rPr>
              <w:t>20</w:t>
            </w:r>
          </w:p>
        </w:tc>
      </w:tr>
      <w:tr w:rsidR="00F7500B" w:rsidRPr="00F7500B" w14:paraId="72DF20C1" w14:textId="77777777" w:rsidTr="000F3B0C">
        <w:trPr>
          <w:trHeight w:val="363"/>
        </w:trPr>
        <w:tc>
          <w:tcPr>
            <w:tcW w:w="41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3AE9CE" w14:textId="77777777" w:rsidR="00F7500B" w:rsidRPr="00F7500B" w:rsidRDefault="00F7500B" w:rsidP="00F7500B">
            <w:pPr>
              <w:pStyle w:val="ListParagraph"/>
              <w:numPr>
                <w:ilvl w:val="0"/>
                <w:numId w:val="19"/>
              </w:numPr>
              <w:spacing w:before="60"/>
              <w:ind w:left="514" w:hanging="450"/>
              <w:contextualSpacing/>
              <w:jc w:val="both"/>
              <w:rPr>
                <w:rFonts w:ascii="Cambria" w:hAnsi="Cambria"/>
              </w:rPr>
            </w:pPr>
            <w:r w:rsidRPr="00F7500B">
              <w:rPr>
                <w:rFonts w:ascii="Cambria" w:hAnsi="Cambria"/>
              </w:rPr>
              <w:t>At least 5 years' experience in agricultural consultancy and support, including experience in the preparation of feasibility studies for agricultural enterprises.</w:t>
            </w:r>
          </w:p>
        </w:tc>
        <w:tc>
          <w:tcPr>
            <w:tcW w:w="841" w:type="pct"/>
            <w:tcBorders>
              <w:top w:val="nil"/>
              <w:left w:val="nil"/>
              <w:bottom w:val="single" w:sz="8" w:space="0" w:color="auto"/>
              <w:right w:val="single" w:sz="8" w:space="0" w:color="auto"/>
            </w:tcBorders>
            <w:tcMar>
              <w:top w:w="0" w:type="dxa"/>
              <w:left w:w="108" w:type="dxa"/>
              <w:bottom w:w="0" w:type="dxa"/>
              <w:right w:w="108" w:type="dxa"/>
            </w:tcMar>
            <w:vAlign w:val="center"/>
          </w:tcPr>
          <w:p w14:paraId="6F2829F9" w14:textId="77777777" w:rsidR="00F7500B" w:rsidRPr="00F7500B" w:rsidRDefault="00F7500B" w:rsidP="000F3B0C">
            <w:pPr>
              <w:jc w:val="center"/>
              <w:rPr>
                <w:rFonts w:ascii="Cambria" w:hAnsi="Cambria"/>
                <w:noProof/>
                <w:spacing w:val="-2"/>
              </w:rPr>
            </w:pPr>
            <w:r w:rsidRPr="00F7500B">
              <w:rPr>
                <w:rFonts w:ascii="Cambria" w:hAnsi="Cambria"/>
                <w:noProof/>
                <w:spacing w:val="-2"/>
              </w:rPr>
              <w:t>20</w:t>
            </w:r>
          </w:p>
        </w:tc>
      </w:tr>
      <w:tr w:rsidR="00F7500B" w:rsidRPr="00F7500B" w14:paraId="39673248" w14:textId="77777777" w:rsidTr="000F3B0C">
        <w:trPr>
          <w:trHeight w:val="363"/>
        </w:trPr>
        <w:tc>
          <w:tcPr>
            <w:tcW w:w="41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F87888" w14:textId="77777777" w:rsidR="00F7500B" w:rsidRPr="00F7500B" w:rsidRDefault="00F7500B" w:rsidP="00F7500B">
            <w:pPr>
              <w:pStyle w:val="ListParagraph"/>
              <w:numPr>
                <w:ilvl w:val="0"/>
                <w:numId w:val="19"/>
              </w:numPr>
              <w:spacing w:before="60"/>
              <w:ind w:left="514" w:hanging="450"/>
              <w:contextualSpacing/>
              <w:jc w:val="both"/>
              <w:rPr>
                <w:rFonts w:ascii="Cambria" w:hAnsi="Cambria"/>
              </w:rPr>
            </w:pPr>
            <w:r w:rsidRPr="00F7500B">
              <w:rPr>
                <w:rFonts w:ascii="Cambria" w:hAnsi="Cambria"/>
              </w:rPr>
              <w:t>Strong capacity and experience in planning and organizing the logistics for the feasibility studies, as evidenced by the size and geographical distribution carried out.</w:t>
            </w:r>
          </w:p>
        </w:tc>
        <w:tc>
          <w:tcPr>
            <w:tcW w:w="841" w:type="pct"/>
            <w:tcBorders>
              <w:top w:val="nil"/>
              <w:left w:val="nil"/>
              <w:bottom w:val="single" w:sz="8" w:space="0" w:color="auto"/>
              <w:right w:val="single" w:sz="8" w:space="0" w:color="auto"/>
            </w:tcBorders>
            <w:tcMar>
              <w:top w:w="0" w:type="dxa"/>
              <w:left w:w="108" w:type="dxa"/>
              <w:bottom w:w="0" w:type="dxa"/>
              <w:right w:w="108" w:type="dxa"/>
            </w:tcMar>
            <w:vAlign w:val="center"/>
          </w:tcPr>
          <w:p w14:paraId="7B34F350" w14:textId="77777777" w:rsidR="00F7500B" w:rsidRPr="00F7500B" w:rsidRDefault="00F7500B" w:rsidP="000F3B0C">
            <w:pPr>
              <w:jc w:val="center"/>
              <w:rPr>
                <w:rFonts w:ascii="Cambria" w:hAnsi="Cambria"/>
                <w:noProof/>
                <w:spacing w:val="-2"/>
              </w:rPr>
            </w:pPr>
            <w:r w:rsidRPr="00F7500B">
              <w:rPr>
                <w:rFonts w:ascii="Cambria" w:hAnsi="Cambria"/>
                <w:noProof/>
                <w:spacing w:val="-2"/>
              </w:rPr>
              <w:t>15</w:t>
            </w:r>
          </w:p>
        </w:tc>
      </w:tr>
      <w:tr w:rsidR="00F7500B" w:rsidRPr="00F7500B" w14:paraId="6D4DEA27" w14:textId="77777777" w:rsidTr="000F3B0C">
        <w:trPr>
          <w:trHeight w:val="832"/>
        </w:trPr>
        <w:tc>
          <w:tcPr>
            <w:tcW w:w="41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00D57D" w14:textId="77777777" w:rsidR="00F7500B" w:rsidRPr="00F7500B" w:rsidRDefault="00F7500B" w:rsidP="00F7500B">
            <w:pPr>
              <w:pStyle w:val="ListParagraph"/>
              <w:numPr>
                <w:ilvl w:val="0"/>
                <w:numId w:val="19"/>
              </w:numPr>
              <w:overflowPunct w:val="0"/>
              <w:adjustRightInd w:val="0"/>
              <w:spacing w:before="60"/>
              <w:ind w:left="514" w:hanging="450"/>
              <w:contextualSpacing/>
              <w:jc w:val="both"/>
              <w:rPr>
                <w:rFonts w:ascii="Cambria" w:hAnsi="Cambria"/>
                <w:iCs/>
                <w:color w:val="000000" w:themeColor="text1"/>
              </w:rPr>
            </w:pPr>
            <w:r w:rsidRPr="00F7500B">
              <w:rPr>
                <w:rFonts w:ascii="Cambria" w:hAnsi="Cambria"/>
              </w:rPr>
              <w:t>Experience doing survey of the value chains in the Moldovan agricultural sector and carrying out evaluations in Republic of Moldova.</w:t>
            </w:r>
          </w:p>
        </w:tc>
        <w:tc>
          <w:tcPr>
            <w:tcW w:w="84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0AF461" w14:textId="77777777" w:rsidR="00F7500B" w:rsidRPr="00F7500B" w:rsidRDefault="00F7500B" w:rsidP="000F3B0C">
            <w:pPr>
              <w:jc w:val="center"/>
              <w:rPr>
                <w:rFonts w:ascii="Cambria" w:hAnsi="Cambria"/>
                <w:noProof/>
                <w:spacing w:val="-2"/>
              </w:rPr>
            </w:pPr>
            <w:r w:rsidRPr="00F7500B">
              <w:rPr>
                <w:rFonts w:ascii="Cambria" w:hAnsi="Cambria"/>
                <w:noProof/>
                <w:spacing w:val="-2"/>
              </w:rPr>
              <w:t>10</w:t>
            </w:r>
          </w:p>
        </w:tc>
      </w:tr>
      <w:tr w:rsidR="00F7500B" w:rsidRPr="00F7500B" w14:paraId="3AA610B9" w14:textId="77777777" w:rsidTr="000F3B0C">
        <w:trPr>
          <w:trHeight w:val="425"/>
        </w:trPr>
        <w:tc>
          <w:tcPr>
            <w:tcW w:w="4159"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611CCDDB" w14:textId="77777777" w:rsidR="00F7500B" w:rsidRPr="00F7500B" w:rsidRDefault="00F7500B" w:rsidP="00F7500B">
            <w:pPr>
              <w:pStyle w:val="ListParagraph"/>
              <w:numPr>
                <w:ilvl w:val="0"/>
                <w:numId w:val="19"/>
              </w:numPr>
              <w:spacing w:before="60"/>
              <w:ind w:left="514" w:hanging="450"/>
              <w:contextualSpacing/>
              <w:rPr>
                <w:rFonts w:ascii="Cambria" w:hAnsi="Cambria"/>
              </w:rPr>
            </w:pPr>
            <w:r w:rsidRPr="00F7500B">
              <w:rPr>
                <w:rFonts w:ascii="Cambria" w:hAnsi="Cambria"/>
              </w:rPr>
              <w:t>Having staff with expertise in data analysis, agriculture, agricultural economics, for the effective performance of the tasks listed in the terms of reference.</w:t>
            </w:r>
          </w:p>
        </w:tc>
        <w:tc>
          <w:tcPr>
            <w:tcW w:w="841" w:type="pct"/>
            <w:tcBorders>
              <w:top w:val="nil"/>
              <w:left w:val="nil"/>
              <w:bottom w:val="single" w:sz="4" w:space="0" w:color="auto"/>
              <w:right w:val="single" w:sz="8" w:space="0" w:color="auto"/>
            </w:tcBorders>
            <w:tcMar>
              <w:top w:w="0" w:type="dxa"/>
              <w:left w:w="108" w:type="dxa"/>
              <w:bottom w:w="0" w:type="dxa"/>
              <w:right w:w="108" w:type="dxa"/>
            </w:tcMar>
            <w:vAlign w:val="center"/>
          </w:tcPr>
          <w:p w14:paraId="291235C8" w14:textId="77777777" w:rsidR="00F7500B" w:rsidRPr="00F7500B" w:rsidRDefault="00F7500B" w:rsidP="000F3B0C">
            <w:pPr>
              <w:jc w:val="center"/>
              <w:rPr>
                <w:rFonts w:ascii="Cambria" w:hAnsi="Cambria"/>
                <w:noProof/>
                <w:spacing w:val="-2"/>
              </w:rPr>
            </w:pPr>
            <w:r w:rsidRPr="00F7500B">
              <w:rPr>
                <w:rFonts w:ascii="Cambria" w:hAnsi="Cambria"/>
                <w:noProof/>
                <w:spacing w:val="-2"/>
              </w:rPr>
              <w:t>10</w:t>
            </w:r>
          </w:p>
        </w:tc>
      </w:tr>
      <w:tr w:rsidR="00F7500B" w:rsidRPr="00F7500B" w14:paraId="464C3D94" w14:textId="77777777" w:rsidTr="000F3B0C">
        <w:trPr>
          <w:trHeight w:val="425"/>
        </w:trPr>
        <w:tc>
          <w:tcPr>
            <w:tcW w:w="4159" w:type="pct"/>
            <w:tcBorders>
              <w:top w:val="nil"/>
              <w:left w:val="single" w:sz="8" w:space="0" w:color="auto"/>
              <w:bottom w:val="nil"/>
              <w:right w:val="single" w:sz="8" w:space="0" w:color="auto"/>
            </w:tcBorders>
            <w:tcMar>
              <w:top w:w="0" w:type="dxa"/>
              <w:left w:w="108" w:type="dxa"/>
              <w:bottom w:w="0" w:type="dxa"/>
              <w:right w:w="108" w:type="dxa"/>
            </w:tcMar>
            <w:vAlign w:val="center"/>
          </w:tcPr>
          <w:p w14:paraId="0FDC6599" w14:textId="040E89EC" w:rsidR="00F7500B" w:rsidRPr="00F7500B" w:rsidRDefault="00F7500B" w:rsidP="00F7500B">
            <w:pPr>
              <w:pStyle w:val="ListParagraph"/>
              <w:numPr>
                <w:ilvl w:val="0"/>
                <w:numId w:val="19"/>
              </w:numPr>
              <w:spacing w:before="60"/>
              <w:ind w:left="514" w:hanging="450"/>
              <w:contextualSpacing/>
              <w:rPr>
                <w:rFonts w:ascii="Cambria" w:hAnsi="Cambria"/>
              </w:rPr>
            </w:pPr>
            <w:r w:rsidRPr="00F7500B">
              <w:rPr>
                <w:rFonts w:ascii="Cambria" w:hAnsi="Cambria"/>
              </w:rPr>
              <w:t>Experience in the organization of feasibility studies in the agricultural sector financed by external donors; (to be confirmed)</w:t>
            </w:r>
          </w:p>
        </w:tc>
        <w:tc>
          <w:tcPr>
            <w:tcW w:w="841" w:type="pct"/>
            <w:tcBorders>
              <w:top w:val="nil"/>
              <w:left w:val="nil"/>
              <w:bottom w:val="nil"/>
              <w:right w:val="single" w:sz="8" w:space="0" w:color="auto"/>
            </w:tcBorders>
            <w:tcMar>
              <w:top w:w="0" w:type="dxa"/>
              <w:left w:w="108" w:type="dxa"/>
              <w:bottom w:w="0" w:type="dxa"/>
              <w:right w:w="108" w:type="dxa"/>
            </w:tcMar>
            <w:vAlign w:val="center"/>
          </w:tcPr>
          <w:p w14:paraId="153250A3" w14:textId="77777777" w:rsidR="00F7500B" w:rsidRPr="00F7500B" w:rsidRDefault="00F7500B" w:rsidP="000F3B0C">
            <w:pPr>
              <w:jc w:val="center"/>
              <w:rPr>
                <w:rFonts w:ascii="Cambria" w:hAnsi="Cambria"/>
                <w:noProof/>
                <w:spacing w:val="-2"/>
              </w:rPr>
            </w:pPr>
            <w:r w:rsidRPr="00F7500B">
              <w:rPr>
                <w:rFonts w:ascii="Cambria" w:hAnsi="Cambria"/>
                <w:noProof/>
                <w:spacing w:val="-2"/>
              </w:rPr>
              <w:t>15</w:t>
            </w:r>
          </w:p>
        </w:tc>
      </w:tr>
      <w:tr w:rsidR="00F7500B" w:rsidRPr="00F7500B" w14:paraId="60DD5A02" w14:textId="77777777" w:rsidTr="000F3B0C">
        <w:trPr>
          <w:trHeight w:val="425"/>
        </w:trPr>
        <w:tc>
          <w:tcPr>
            <w:tcW w:w="4159"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75E331BA" w14:textId="77777777" w:rsidR="00F7500B" w:rsidRPr="00F7500B" w:rsidRDefault="00F7500B" w:rsidP="000F3B0C">
            <w:pPr>
              <w:pStyle w:val="ListParagraph"/>
              <w:spacing w:before="60"/>
              <w:ind w:left="514"/>
              <w:rPr>
                <w:rFonts w:ascii="Cambria" w:hAnsi="Cambria"/>
              </w:rPr>
            </w:pPr>
          </w:p>
        </w:tc>
        <w:tc>
          <w:tcPr>
            <w:tcW w:w="841" w:type="pct"/>
            <w:tcBorders>
              <w:top w:val="nil"/>
              <w:left w:val="nil"/>
              <w:bottom w:val="single" w:sz="4" w:space="0" w:color="auto"/>
              <w:right w:val="single" w:sz="8" w:space="0" w:color="auto"/>
            </w:tcBorders>
            <w:tcMar>
              <w:top w:w="0" w:type="dxa"/>
              <w:left w:w="108" w:type="dxa"/>
              <w:bottom w:w="0" w:type="dxa"/>
              <w:right w:w="108" w:type="dxa"/>
            </w:tcMar>
            <w:vAlign w:val="center"/>
          </w:tcPr>
          <w:p w14:paraId="27F79A0B" w14:textId="77777777" w:rsidR="00F7500B" w:rsidRPr="00F7500B" w:rsidRDefault="00F7500B" w:rsidP="000F3B0C">
            <w:pPr>
              <w:jc w:val="center"/>
              <w:rPr>
                <w:rFonts w:ascii="Cambria" w:hAnsi="Cambria"/>
                <w:noProof/>
                <w:spacing w:val="-2"/>
              </w:rPr>
            </w:pPr>
          </w:p>
        </w:tc>
      </w:tr>
      <w:bookmarkEnd w:id="0"/>
    </w:tbl>
    <w:p w14:paraId="29FE6D04" w14:textId="77777777" w:rsidR="00833B3E" w:rsidRPr="00F7500B" w:rsidRDefault="00833B3E" w:rsidP="00833B3E">
      <w:pPr>
        <w:pStyle w:val="ListParagraph"/>
        <w:suppressAutoHyphens/>
        <w:ind w:left="270"/>
        <w:jc w:val="both"/>
        <w:rPr>
          <w:rFonts w:ascii="Cambria" w:hAnsi="Cambria" w:cstheme="majorBidi"/>
          <w:color w:val="000000" w:themeColor="text1"/>
          <w:spacing w:val="-2"/>
          <w:sz w:val="24"/>
          <w:szCs w:val="24"/>
        </w:rPr>
      </w:pPr>
    </w:p>
    <w:p w14:paraId="31823CF2" w14:textId="77777777" w:rsidR="00F7500B" w:rsidRPr="00F7500B" w:rsidRDefault="00F7500B" w:rsidP="00833B3E">
      <w:pPr>
        <w:pStyle w:val="ListParagraph"/>
        <w:suppressAutoHyphens/>
        <w:ind w:left="270"/>
        <w:jc w:val="both"/>
        <w:rPr>
          <w:rFonts w:ascii="Cambria" w:hAnsi="Cambria" w:cstheme="majorBidi"/>
          <w:color w:val="000000" w:themeColor="text1"/>
          <w:spacing w:val="-2"/>
          <w:sz w:val="24"/>
          <w:szCs w:val="24"/>
        </w:rPr>
      </w:pPr>
    </w:p>
    <w:p w14:paraId="3DC8E42A" w14:textId="32E46557" w:rsidR="00D75E97" w:rsidRPr="00F7500B" w:rsidRDefault="00D75E97" w:rsidP="00D75E97">
      <w:pPr>
        <w:suppressAutoHyphens/>
        <w:rPr>
          <w:rFonts w:ascii="Cambria" w:hAnsi="Cambria" w:cstheme="majorBidi"/>
          <w:color w:val="000000" w:themeColor="text1"/>
          <w:spacing w:val="-2"/>
        </w:rPr>
      </w:pPr>
      <w:r w:rsidRPr="00F7500B">
        <w:rPr>
          <w:rFonts w:ascii="Cambria" w:hAnsi="Cambria" w:cstheme="majorBidi"/>
          <w:color w:val="000000" w:themeColor="text1"/>
          <w:spacing w:val="-2"/>
        </w:rPr>
        <w:t xml:space="preserve">Only the companies </w:t>
      </w:r>
      <w:r w:rsidR="00272F37" w:rsidRPr="00F7500B">
        <w:rPr>
          <w:rFonts w:ascii="Cambria" w:hAnsi="Cambria" w:cstheme="majorBidi"/>
          <w:color w:val="000000" w:themeColor="text1"/>
          <w:spacing w:val="-2"/>
        </w:rPr>
        <w:t xml:space="preserve">(maximum of 6) </w:t>
      </w:r>
      <w:r w:rsidRPr="00F7500B">
        <w:rPr>
          <w:rFonts w:ascii="Cambria" w:hAnsi="Cambria" w:cstheme="majorBidi"/>
          <w:color w:val="000000" w:themeColor="text1"/>
          <w:spacing w:val="-2"/>
        </w:rPr>
        <w:t xml:space="preserve">that will be selected in the Short List (the </w:t>
      </w:r>
      <w:r w:rsidR="00272F37" w:rsidRPr="00F7500B">
        <w:rPr>
          <w:rFonts w:ascii="Cambria" w:hAnsi="Cambria" w:cstheme="majorBidi"/>
          <w:color w:val="000000" w:themeColor="text1"/>
          <w:spacing w:val="-2"/>
        </w:rPr>
        <w:t xml:space="preserve">passing </w:t>
      </w:r>
      <w:r w:rsidRPr="00F7500B">
        <w:rPr>
          <w:rFonts w:ascii="Cambria" w:hAnsi="Cambria" w:cstheme="majorBidi"/>
          <w:color w:val="000000" w:themeColor="text1"/>
          <w:spacing w:val="-2"/>
        </w:rPr>
        <w:t>score is 70%) will be invited to submit the technical offer and the financial offer.</w:t>
      </w:r>
    </w:p>
    <w:p w14:paraId="5EE5EDA2" w14:textId="77777777" w:rsidR="00D75E97" w:rsidRPr="00F7500B" w:rsidRDefault="00D75E97" w:rsidP="00D75E97">
      <w:pPr>
        <w:suppressAutoHyphens/>
        <w:rPr>
          <w:rFonts w:ascii="Cambria" w:hAnsi="Cambria" w:cstheme="majorBidi"/>
          <w:color w:val="000000" w:themeColor="text1"/>
          <w:spacing w:val="-2"/>
        </w:rPr>
      </w:pPr>
    </w:p>
    <w:p w14:paraId="35DA398B" w14:textId="497F0DB2" w:rsidR="00D75E97" w:rsidRPr="00F7500B" w:rsidRDefault="00D75E97" w:rsidP="00D75E97">
      <w:pPr>
        <w:suppressAutoHyphens/>
        <w:rPr>
          <w:rFonts w:ascii="Cambria" w:hAnsi="Cambria" w:cstheme="majorBidi"/>
          <w:color w:val="000000" w:themeColor="text1"/>
          <w:spacing w:val="-2"/>
        </w:rPr>
      </w:pPr>
      <w:r w:rsidRPr="00F7500B">
        <w:rPr>
          <w:rFonts w:ascii="Cambria" w:hAnsi="Cambria" w:cstheme="majorBidi"/>
          <w:color w:val="000000" w:themeColor="text1"/>
          <w:spacing w:val="-2"/>
        </w:rPr>
        <w:t xml:space="preserve">Any request for clarification regarding this REOI must be sent by e-mail to </w:t>
      </w:r>
      <w:hyperlink r:id="rId8" w:history="1">
        <w:r w:rsidRPr="00F7500B">
          <w:rPr>
            <w:rStyle w:val="Hyperlink"/>
            <w:rFonts w:ascii="Cambria" w:hAnsi="Cambria" w:cstheme="majorBidi"/>
            <w:spacing w:val="-2"/>
          </w:rPr>
          <w:t>procurement@ucipifad.md</w:t>
        </w:r>
      </w:hyperlink>
      <w:r w:rsidRPr="00F7500B">
        <w:rPr>
          <w:rFonts w:ascii="Cambria" w:hAnsi="Cambria" w:cstheme="majorBidi"/>
          <w:color w:val="000000" w:themeColor="text1"/>
          <w:spacing w:val="-2"/>
        </w:rPr>
        <w:t xml:space="preserve"> by </w:t>
      </w:r>
      <w:r w:rsidR="00F7500B">
        <w:rPr>
          <w:rFonts w:ascii="Cambria" w:hAnsi="Cambria" w:cstheme="majorBidi"/>
          <w:color w:val="000000" w:themeColor="text1"/>
          <w:spacing w:val="-2"/>
        </w:rPr>
        <w:t>July</w:t>
      </w:r>
      <w:r w:rsidRPr="00F7500B">
        <w:rPr>
          <w:rFonts w:ascii="Cambria" w:hAnsi="Cambria" w:cstheme="majorBidi"/>
          <w:color w:val="000000" w:themeColor="text1"/>
          <w:spacing w:val="-2"/>
        </w:rPr>
        <w:t xml:space="preserve"> </w:t>
      </w:r>
      <w:r w:rsidR="00F7500B">
        <w:rPr>
          <w:rFonts w:ascii="Cambria" w:hAnsi="Cambria" w:cstheme="majorBidi"/>
          <w:color w:val="000000" w:themeColor="text1"/>
          <w:spacing w:val="-2"/>
        </w:rPr>
        <w:t>30</w:t>
      </w:r>
      <w:r w:rsidR="00F7500B" w:rsidRPr="00F7500B">
        <w:rPr>
          <w:rFonts w:ascii="Cambria" w:hAnsi="Cambria" w:cstheme="majorBidi"/>
          <w:color w:val="000000" w:themeColor="text1"/>
          <w:spacing w:val="-2"/>
          <w:vertAlign w:val="superscript"/>
        </w:rPr>
        <w:t>th</w:t>
      </w:r>
      <w:r w:rsidR="00F7500B">
        <w:rPr>
          <w:rFonts w:ascii="Cambria" w:hAnsi="Cambria" w:cstheme="majorBidi"/>
          <w:color w:val="000000" w:themeColor="text1"/>
          <w:spacing w:val="-2"/>
        </w:rPr>
        <w:t>,</w:t>
      </w:r>
      <w:r w:rsidRPr="00F7500B">
        <w:rPr>
          <w:rFonts w:ascii="Cambria" w:hAnsi="Cambria" w:cstheme="majorBidi"/>
          <w:color w:val="000000" w:themeColor="text1"/>
          <w:spacing w:val="-2"/>
        </w:rPr>
        <w:t xml:space="preserve"> 202</w:t>
      </w:r>
      <w:r w:rsidR="00F7500B">
        <w:rPr>
          <w:rFonts w:ascii="Cambria" w:hAnsi="Cambria" w:cstheme="majorBidi"/>
          <w:color w:val="000000" w:themeColor="text1"/>
          <w:spacing w:val="-2"/>
        </w:rPr>
        <w:t>4</w:t>
      </w:r>
      <w:r w:rsidRPr="00F7500B">
        <w:rPr>
          <w:rFonts w:ascii="Cambria" w:hAnsi="Cambria" w:cstheme="majorBidi"/>
          <w:color w:val="000000" w:themeColor="text1"/>
          <w:spacing w:val="-2"/>
        </w:rPr>
        <w:t xml:space="preserve">, at 17:00 (Moldovan time). The client will provide answers to all requests for clarification by </w:t>
      </w:r>
      <w:r w:rsidR="00F7500B">
        <w:rPr>
          <w:rFonts w:ascii="Cambria" w:hAnsi="Cambria" w:cstheme="majorBidi"/>
          <w:color w:val="000000" w:themeColor="text1"/>
          <w:spacing w:val="-2"/>
        </w:rPr>
        <w:t>August</w:t>
      </w:r>
      <w:r w:rsidRPr="00F7500B">
        <w:rPr>
          <w:rFonts w:ascii="Cambria" w:hAnsi="Cambria" w:cstheme="majorBidi"/>
          <w:color w:val="000000" w:themeColor="text1"/>
          <w:spacing w:val="-2"/>
        </w:rPr>
        <w:t xml:space="preserve"> </w:t>
      </w:r>
      <w:r w:rsidR="00F7500B">
        <w:rPr>
          <w:rFonts w:ascii="Cambria" w:hAnsi="Cambria" w:cstheme="majorBidi"/>
          <w:color w:val="000000" w:themeColor="text1"/>
          <w:spacing w:val="-2"/>
        </w:rPr>
        <w:t>1</w:t>
      </w:r>
      <w:r w:rsidR="00F7500B" w:rsidRPr="00F7500B">
        <w:rPr>
          <w:rFonts w:ascii="Cambria" w:hAnsi="Cambria" w:cstheme="majorBidi"/>
          <w:color w:val="000000" w:themeColor="text1"/>
          <w:spacing w:val="-2"/>
          <w:vertAlign w:val="superscript"/>
        </w:rPr>
        <w:t>st</w:t>
      </w:r>
      <w:r w:rsidR="00F7500B">
        <w:rPr>
          <w:rFonts w:ascii="Cambria" w:hAnsi="Cambria" w:cstheme="majorBidi"/>
          <w:color w:val="000000" w:themeColor="text1"/>
          <w:spacing w:val="-2"/>
        </w:rPr>
        <w:t>,</w:t>
      </w:r>
      <w:r w:rsidRPr="00F7500B">
        <w:rPr>
          <w:rFonts w:ascii="Cambria" w:hAnsi="Cambria" w:cstheme="majorBidi"/>
          <w:color w:val="000000" w:themeColor="text1"/>
          <w:spacing w:val="-2"/>
        </w:rPr>
        <w:t xml:space="preserve"> 202</w:t>
      </w:r>
      <w:r w:rsidR="00F7500B">
        <w:rPr>
          <w:rFonts w:ascii="Cambria" w:hAnsi="Cambria" w:cstheme="majorBidi"/>
          <w:color w:val="000000" w:themeColor="text1"/>
          <w:spacing w:val="-2"/>
        </w:rPr>
        <w:t>4</w:t>
      </w:r>
      <w:r w:rsidRPr="00F7500B">
        <w:rPr>
          <w:rFonts w:ascii="Cambria" w:hAnsi="Cambria" w:cstheme="majorBidi"/>
          <w:color w:val="000000" w:themeColor="text1"/>
          <w:spacing w:val="-2"/>
        </w:rPr>
        <w:t>, at 17:00 (Moldovan time).</w:t>
      </w:r>
    </w:p>
    <w:p w14:paraId="0FDE4D3C" w14:textId="77777777" w:rsidR="00D75E97" w:rsidRPr="00F7500B" w:rsidRDefault="00D75E97" w:rsidP="00D75E97">
      <w:pPr>
        <w:suppressAutoHyphens/>
        <w:rPr>
          <w:rFonts w:ascii="Cambria" w:hAnsi="Cambria" w:cstheme="majorBidi"/>
          <w:color w:val="000000" w:themeColor="text1"/>
          <w:spacing w:val="-2"/>
        </w:rPr>
      </w:pPr>
    </w:p>
    <w:p w14:paraId="5E45B210" w14:textId="41A39B74" w:rsidR="00D75E97" w:rsidRPr="00F7500B" w:rsidRDefault="00D75E97" w:rsidP="00D75E97">
      <w:pPr>
        <w:suppressAutoHyphens/>
        <w:rPr>
          <w:rFonts w:ascii="Cambria" w:hAnsi="Cambria" w:cstheme="majorBidi"/>
          <w:color w:val="4472C4" w:themeColor="accent1"/>
          <w:spacing w:val="-2"/>
        </w:rPr>
      </w:pPr>
      <w:r w:rsidRPr="00F7500B">
        <w:rPr>
          <w:rFonts w:ascii="Cambria" w:hAnsi="Cambria" w:cstheme="majorBidi"/>
          <w:color w:val="4472C4" w:themeColor="accent1"/>
          <w:spacing w:val="-2"/>
        </w:rPr>
        <w:t xml:space="preserve">Expressions of interest must be submitted in writing using the forms provided for this purpose. EOIs will be sent by email to the address below </w:t>
      </w:r>
      <w:r w:rsidRPr="00F7500B">
        <w:rPr>
          <w:rFonts w:ascii="Cambria" w:hAnsi="Cambria" w:cstheme="majorBidi"/>
          <w:i/>
          <w:iCs/>
          <w:color w:val="4472C4" w:themeColor="accent1"/>
          <w:spacing w:val="-2"/>
        </w:rPr>
        <w:t xml:space="preserve">until </w:t>
      </w:r>
      <w:r w:rsidR="00F7500B" w:rsidRPr="00F7500B">
        <w:rPr>
          <w:rFonts w:ascii="Cambria" w:hAnsi="Cambria" w:cstheme="majorBidi"/>
          <w:i/>
          <w:iCs/>
          <w:color w:val="4472C4" w:themeColor="accent1"/>
          <w:spacing w:val="-2"/>
        </w:rPr>
        <w:t>August 5</w:t>
      </w:r>
      <w:r w:rsidR="00F7500B" w:rsidRPr="00F7500B">
        <w:rPr>
          <w:rFonts w:ascii="Cambria" w:hAnsi="Cambria" w:cstheme="majorBidi"/>
          <w:i/>
          <w:iCs/>
          <w:color w:val="4472C4" w:themeColor="accent1"/>
          <w:spacing w:val="-2"/>
          <w:vertAlign w:val="superscript"/>
        </w:rPr>
        <w:t>th</w:t>
      </w:r>
      <w:r w:rsidR="00F7500B" w:rsidRPr="00F7500B">
        <w:rPr>
          <w:rFonts w:ascii="Cambria" w:hAnsi="Cambria" w:cstheme="majorBidi"/>
          <w:i/>
          <w:iCs/>
          <w:color w:val="4472C4" w:themeColor="accent1"/>
          <w:spacing w:val="-2"/>
        </w:rPr>
        <w:t>,</w:t>
      </w:r>
      <w:r w:rsidRPr="00F7500B">
        <w:rPr>
          <w:rFonts w:ascii="Cambria" w:hAnsi="Cambria" w:cstheme="majorBidi"/>
          <w:i/>
          <w:iCs/>
          <w:color w:val="4472C4" w:themeColor="accent1"/>
          <w:spacing w:val="-2"/>
        </w:rPr>
        <w:t xml:space="preserve"> 202</w:t>
      </w:r>
      <w:r w:rsidR="00F7500B" w:rsidRPr="00F7500B">
        <w:rPr>
          <w:rFonts w:ascii="Cambria" w:hAnsi="Cambria" w:cstheme="majorBidi"/>
          <w:i/>
          <w:iCs/>
          <w:color w:val="4472C4" w:themeColor="accent1"/>
          <w:spacing w:val="-2"/>
        </w:rPr>
        <w:t>4</w:t>
      </w:r>
      <w:r w:rsidRPr="00F7500B">
        <w:rPr>
          <w:rFonts w:ascii="Cambria" w:hAnsi="Cambria" w:cstheme="majorBidi"/>
          <w:i/>
          <w:iCs/>
          <w:color w:val="4472C4" w:themeColor="accent1"/>
          <w:spacing w:val="-2"/>
        </w:rPr>
        <w:t>, at 1</w:t>
      </w:r>
      <w:r w:rsidR="00F7500B" w:rsidRPr="00F7500B">
        <w:rPr>
          <w:rFonts w:ascii="Cambria" w:hAnsi="Cambria" w:cstheme="majorBidi"/>
          <w:i/>
          <w:iCs/>
          <w:color w:val="4472C4" w:themeColor="accent1"/>
          <w:spacing w:val="-2"/>
        </w:rPr>
        <w:t>3</w:t>
      </w:r>
      <w:r w:rsidRPr="00F7500B">
        <w:rPr>
          <w:rFonts w:ascii="Cambria" w:hAnsi="Cambria" w:cstheme="majorBidi"/>
          <w:i/>
          <w:iCs/>
          <w:color w:val="4472C4" w:themeColor="accent1"/>
          <w:spacing w:val="-2"/>
        </w:rPr>
        <w:t>:00 (Moldovan time).</w:t>
      </w:r>
    </w:p>
    <w:p w14:paraId="32CD03A7" w14:textId="77777777" w:rsidR="00D75E97" w:rsidRPr="00F7500B" w:rsidRDefault="00D75E97" w:rsidP="00D75E97">
      <w:pPr>
        <w:suppressAutoHyphens/>
        <w:rPr>
          <w:rFonts w:ascii="Cambria" w:hAnsi="Cambria" w:cstheme="majorBidi"/>
          <w:color w:val="000000" w:themeColor="text1"/>
          <w:spacing w:val="-2"/>
        </w:rPr>
      </w:pPr>
    </w:p>
    <w:p w14:paraId="4BCDFA39" w14:textId="77777777" w:rsidR="00D75E97" w:rsidRPr="00F7500B" w:rsidRDefault="00D75E97" w:rsidP="00D75E97">
      <w:pPr>
        <w:suppressAutoHyphens/>
        <w:rPr>
          <w:rFonts w:ascii="Cambria" w:hAnsi="Cambria" w:cs="Arial"/>
          <w:b/>
          <w:bCs/>
          <w:iCs/>
          <w:color w:val="FF0000"/>
          <w:spacing w:val="-2"/>
        </w:rPr>
      </w:pPr>
    </w:p>
    <w:p w14:paraId="214367BB" w14:textId="181D2513" w:rsidR="000E1521" w:rsidRPr="00F7500B" w:rsidRDefault="000E1521" w:rsidP="000E1521">
      <w:pPr>
        <w:jc w:val="both"/>
        <w:rPr>
          <w:rFonts w:ascii="Cambria" w:hAnsi="Cambria"/>
          <w:bCs/>
          <w:noProof/>
        </w:rPr>
      </w:pPr>
      <w:r w:rsidRPr="00F7500B">
        <w:rPr>
          <w:rFonts w:ascii="Cambria" w:hAnsi="Cambria"/>
          <w:bCs/>
          <w:noProof/>
        </w:rPr>
        <w:t xml:space="preserve">Attn: </w:t>
      </w:r>
      <w:r w:rsidR="00F7500B">
        <w:rPr>
          <w:rFonts w:ascii="Cambria" w:hAnsi="Cambria"/>
          <w:bCs/>
          <w:noProof/>
        </w:rPr>
        <w:t>Alexandru Scurtu</w:t>
      </w:r>
      <w:r w:rsidRPr="00F7500B">
        <w:rPr>
          <w:rFonts w:ascii="Cambria" w:hAnsi="Cambria"/>
          <w:bCs/>
          <w:noProof/>
        </w:rPr>
        <w:t>, Procurement Specialist</w:t>
      </w:r>
    </w:p>
    <w:p w14:paraId="31EF46A7" w14:textId="77777777" w:rsidR="000E1521" w:rsidRPr="00F7500B" w:rsidRDefault="000E1521" w:rsidP="000E1521">
      <w:pPr>
        <w:jc w:val="both"/>
        <w:rPr>
          <w:rFonts w:ascii="Cambria" w:hAnsi="Cambria"/>
          <w:bCs/>
          <w:noProof/>
        </w:rPr>
      </w:pPr>
      <w:r w:rsidRPr="00F7500B">
        <w:rPr>
          <w:rFonts w:ascii="Cambria" w:hAnsi="Cambria"/>
          <w:bCs/>
          <w:noProof/>
        </w:rPr>
        <w:t xml:space="preserve">Ștefan cel Mare și Sfînt bd. 162,  Chișinău, MD-2004 </w:t>
      </w:r>
    </w:p>
    <w:p w14:paraId="437646B7" w14:textId="77777777" w:rsidR="000E1521" w:rsidRPr="00F7500B" w:rsidRDefault="000E1521" w:rsidP="000E1521">
      <w:pPr>
        <w:jc w:val="both"/>
        <w:rPr>
          <w:rFonts w:ascii="Cambria" w:hAnsi="Cambria"/>
          <w:bCs/>
          <w:noProof/>
        </w:rPr>
      </w:pPr>
      <w:r w:rsidRPr="00F7500B">
        <w:rPr>
          <w:rFonts w:ascii="Cambria" w:hAnsi="Cambria"/>
          <w:bCs/>
          <w:noProof/>
        </w:rPr>
        <w:t xml:space="preserve">E-mail: </w:t>
      </w:r>
      <w:hyperlink r:id="rId9" w:history="1">
        <w:r w:rsidRPr="00F7500B">
          <w:rPr>
            <w:rStyle w:val="Hyperlink"/>
            <w:rFonts w:ascii="Cambria" w:hAnsi="Cambria" w:cs="Arial"/>
            <w:color w:val="4472C4" w:themeColor="accent1"/>
            <w:spacing w:val="-2"/>
          </w:rPr>
          <w:t>procurement@ucipifad.md</w:t>
        </w:r>
      </w:hyperlink>
      <w:r w:rsidRPr="00F7500B">
        <w:rPr>
          <w:rFonts w:ascii="Cambria" w:hAnsi="Cambria"/>
          <w:bCs/>
          <w:noProof/>
        </w:rPr>
        <w:t xml:space="preserve"> </w:t>
      </w:r>
    </w:p>
    <w:p w14:paraId="2B83B05A" w14:textId="77777777" w:rsidR="000E1521" w:rsidRPr="00F7500B" w:rsidRDefault="000E1521" w:rsidP="000E1521">
      <w:pPr>
        <w:pStyle w:val="NormalWeb"/>
        <w:shd w:val="clear" w:color="auto" w:fill="FFFFFF"/>
        <w:spacing w:before="0" w:beforeAutospacing="0" w:after="0" w:afterAutospacing="0"/>
        <w:jc w:val="both"/>
        <w:textAlignment w:val="baseline"/>
        <w:rPr>
          <w:rFonts w:ascii="Cambria" w:hAnsi="Cambria"/>
        </w:rPr>
      </w:pPr>
      <w:r w:rsidRPr="00F7500B">
        <w:rPr>
          <w:rFonts w:ascii="Cambria" w:hAnsi="Cambria"/>
        </w:rPr>
        <w:t>Tel. (022) 22 - 18 – 80</w:t>
      </w:r>
    </w:p>
    <w:p w14:paraId="76112650" w14:textId="77777777" w:rsidR="000E1521" w:rsidRPr="00F7500B" w:rsidRDefault="000E1521" w:rsidP="000E1521">
      <w:pPr>
        <w:rPr>
          <w:rFonts w:ascii="Cambria" w:hAnsi="Cambria"/>
        </w:rPr>
      </w:pPr>
    </w:p>
    <w:p w14:paraId="0AF7BF0E" w14:textId="775F819D" w:rsidR="000E1521" w:rsidRPr="00F7500B" w:rsidRDefault="00A926A7" w:rsidP="000E1521">
      <w:pPr>
        <w:rPr>
          <w:rFonts w:ascii="Cambria" w:hAnsi="Cambria"/>
        </w:rPr>
      </w:pPr>
      <w:r w:rsidRPr="00F7500B">
        <w:rPr>
          <w:rFonts w:ascii="Cambria" w:hAnsi="Cambria"/>
          <w:noProof/>
          <w:lang w:eastAsia="en-GB"/>
        </w:rPr>
        <w:drawing>
          <wp:inline distT="0" distB="0" distL="0" distR="0" wp14:anchorId="6499C8B2" wp14:editId="1EAD3F3B">
            <wp:extent cx="274320" cy="274320"/>
            <wp:effectExtent l="0" t="0" r="0" b="0"/>
            <wp:docPr id="7" name="Picture 1" descr="facebook-icon_32x3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ebook-icon_32x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sidR="000E1521" w:rsidRPr="00F7500B">
        <w:rPr>
          <w:rFonts w:ascii="Cambria" w:hAnsi="Cambria"/>
        </w:rPr>
        <w:t xml:space="preserve">   </w:t>
      </w:r>
      <w:r w:rsidRPr="00F7500B">
        <w:rPr>
          <w:rFonts w:ascii="Cambria" w:hAnsi="Cambria"/>
          <w:noProof/>
          <w:lang w:eastAsia="en-GB"/>
        </w:rPr>
        <w:drawing>
          <wp:inline distT="0" distB="0" distL="0" distR="0" wp14:anchorId="7AB54846" wp14:editId="39DA73C9">
            <wp:extent cx="274320" cy="274320"/>
            <wp:effectExtent l="0" t="0" r="0" b="0"/>
            <wp:docPr id="6" name="Picture 2" descr="instagram-icon_32x3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stagram-icon_32x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sidR="000E1521" w:rsidRPr="00F7500B">
        <w:rPr>
          <w:rFonts w:ascii="Cambria" w:hAnsi="Cambria"/>
        </w:rPr>
        <w:t>   </w:t>
      </w:r>
      <w:r w:rsidRPr="00F7500B">
        <w:rPr>
          <w:rFonts w:ascii="Cambria" w:hAnsi="Cambria"/>
          <w:noProof/>
          <w:lang w:eastAsia="en-GB"/>
        </w:rPr>
        <w:drawing>
          <wp:inline distT="0" distB="0" distL="0" distR="0" wp14:anchorId="17A2B00D" wp14:editId="71E0673E">
            <wp:extent cx="274320" cy="274320"/>
            <wp:effectExtent l="0" t="0" r="0" b="0"/>
            <wp:docPr id="1" name="Picture 3" descr="youtube-icon_32x3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ube-icon_32x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sidR="000E1521" w:rsidRPr="00F7500B">
        <w:rPr>
          <w:rFonts w:ascii="Cambria" w:hAnsi="Cambria"/>
        </w:rPr>
        <w:t>   </w:t>
      </w:r>
      <w:r w:rsidRPr="00F7500B">
        <w:rPr>
          <w:rFonts w:ascii="Cambria" w:hAnsi="Cambria"/>
          <w:noProof/>
          <w:lang w:eastAsia="en-GB"/>
        </w:rPr>
        <w:drawing>
          <wp:inline distT="0" distB="0" distL="0" distR="0" wp14:anchorId="574897B2" wp14:editId="64D959C2">
            <wp:extent cx="274320" cy="274320"/>
            <wp:effectExtent l="0" t="0" r="0" b="0"/>
            <wp:docPr id="4" name="Picture 4" descr="OK">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K"/>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sidR="000E1521" w:rsidRPr="00F7500B">
        <w:rPr>
          <w:rFonts w:ascii="Cambria" w:hAnsi="Cambria"/>
        </w:rPr>
        <w:t>           </w:t>
      </w:r>
      <w:r w:rsidRPr="00F7500B">
        <w:rPr>
          <w:rFonts w:ascii="Cambria" w:hAnsi="Cambria"/>
          <w:noProof/>
          <w:lang w:eastAsia="en-GB"/>
        </w:rPr>
        <w:drawing>
          <wp:inline distT="0" distB="0" distL="0" distR="0" wp14:anchorId="16F0719E" wp14:editId="687F47E6">
            <wp:extent cx="1295400" cy="533400"/>
            <wp:effectExtent l="0" t="0" r="0" b="0"/>
            <wp:docPr id="5" name="Picture 5">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95400" cy="533400"/>
                    </a:xfrm>
                    <a:prstGeom prst="rect">
                      <a:avLst/>
                    </a:prstGeom>
                    <a:noFill/>
                    <a:ln>
                      <a:noFill/>
                    </a:ln>
                  </pic:spPr>
                </pic:pic>
              </a:graphicData>
            </a:graphic>
          </wp:inline>
        </w:drawing>
      </w:r>
    </w:p>
    <w:p w14:paraId="1BEE9F30" w14:textId="77777777" w:rsidR="00E12E53" w:rsidRPr="00F7500B" w:rsidRDefault="00E12E53" w:rsidP="00E12E53">
      <w:pPr>
        <w:jc w:val="center"/>
        <w:rPr>
          <w:rFonts w:ascii="Cambria" w:hAnsi="Cambria" w:cs="Arial"/>
          <w:i/>
          <w:iCs/>
          <w:sz w:val="22"/>
          <w:szCs w:val="22"/>
        </w:rPr>
      </w:pPr>
    </w:p>
    <w:p w14:paraId="474D8A27" w14:textId="77777777" w:rsidR="00BD0982" w:rsidRPr="00F7500B" w:rsidRDefault="00BD0982">
      <w:pPr>
        <w:rPr>
          <w:rFonts w:ascii="Cambria" w:hAnsi="Cambria"/>
        </w:rPr>
      </w:pPr>
    </w:p>
    <w:sectPr w:rsidR="00BE1F6B" w:rsidRPr="00F7500B" w:rsidSect="008843D3">
      <w:headerReference w:type="even" r:id="rId20"/>
      <w:headerReference w:type="default" r:id="rId21"/>
      <w:footerReference w:type="even" r:id="rId22"/>
      <w:footerReference w:type="default" r:id="rId23"/>
      <w:headerReference w:type="first" r:id="rId24"/>
      <w:footerReference w:type="first" r:id="rId25"/>
      <w:pgSz w:w="11900" w:h="16820" w:code="9"/>
      <w:pgMar w:top="2053" w:right="964" w:bottom="1440" w:left="101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B8B514" w14:textId="77777777" w:rsidR="00093D5E" w:rsidRDefault="00093D5E" w:rsidP="00E12E53">
      <w:r>
        <w:separator/>
      </w:r>
    </w:p>
  </w:endnote>
  <w:endnote w:type="continuationSeparator" w:id="0">
    <w:p w14:paraId="61E92162" w14:textId="77777777" w:rsidR="00093D5E" w:rsidRDefault="00093D5E" w:rsidP="00E12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7C450" w14:textId="77777777" w:rsidR="00C143F1" w:rsidRDefault="00C143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81D87" w14:textId="77777777" w:rsidR="00BD0982" w:rsidRPr="00EE08EC" w:rsidRDefault="00496F24" w:rsidP="008843D3">
    <w:pPr>
      <w:pStyle w:val="Footer"/>
      <w:tabs>
        <w:tab w:val="left" w:pos="395"/>
        <w:tab w:val="left" w:pos="1646"/>
      </w:tabs>
      <w:rPr>
        <w:rFonts w:ascii="Arial" w:hAnsi="Arial" w:cs="Arial"/>
        <w:b/>
        <w:bCs/>
        <w:color w:val="595959" w:themeColor="text1" w:themeTint="A6"/>
        <w:sz w:val="20"/>
        <w:szCs w:val="20"/>
        <w:lang w:val="en-GB"/>
      </w:rPr>
    </w:pPr>
    <w:r w:rsidRPr="00325AC7">
      <w:rPr>
        <w:rFonts w:ascii="Calibri Light" w:hAnsi="Calibri Light" w:cs="Calibri Light"/>
        <w:color w:val="A6A6A6"/>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AF610" w14:textId="77777777" w:rsidR="00BD0982" w:rsidRPr="008843D3" w:rsidRDefault="00BD0982" w:rsidP="008843D3">
    <w:pPr>
      <w:pStyle w:val="Footer"/>
      <w:tabs>
        <w:tab w:val="left" w:pos="395"/>
        <w:tab w:val="left" w:pos="1646"/>
      </w:tabs>
      <w:rPr>
        <w:rFonts w:ascii="Arial" w:hAnsi="Arial" w:cs="Arial"/>
        <w:b/>
        <w:bCs/>
        <w:color w:val="595959" w:themeColor="text1" w:themeTint="A6"/>
        <w:sz w:val="20"/>
        <w:szCs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543131" w14:textId="77777777" w:rsidR="00093D5E" w:rsidRDefault="00093D5E" w:rsidP="00E12E53">
      <w:r>
        <w:separator/>
      </w:r>
    </w:p>
  </w:footnote>
  <w:footnote w:type="continuationSeparator" w:id="0">
    <w:p w14:paraId="4FD8D282" w14:textId="77777777" w:rsidR="00093D5E" w:rsidRDefault="00093D5E" w:rsidP="00E12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25976" w14:textId="77777777" w:rsidR="00C143F1" w:rsidRDefault="00C143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62295" w14:textId="77777777" w:rsidR="00BD0982" w:rsidRPr="00325AC7" w:rsidRDefault="00496F24" w:rsidP="008E7492">
    <w:pPr>
      <w:pStyle w:val="Header"/>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lang w:val="en-GB" w:eastAsia="en-GB"/>
      </w:rPr>
      <mc:AlternateContent>
        <mc:Choice Requires="wps">
          <w:drawing>
            <wp:anchor distT="0" distB="0" distL="114300" distR="114300" simplePos="0" relativeHeight="251659264" behindDoc="0" locked="0" layoutInCell="1" allowOverlap="1" wp14:anchorId="1076FA49" wp14:editId="3F6C8AFA">
              <wp:simplePos x="0" y="0"/>
              <wp:positionH relativeFrom="page">
                <wp:align>center</wp:align>
              </wp:positionH>
              <wp:positionV relativeFrom="page">
                <wp:posOffset>450215</wp:posOffset>
              </wp:positionV>
              <wp:extent cx="6868800" cy="360000"/>
              <wp:effectExtent l="0" t="0" r="1905" b="0"/>
              <wp:wrapNone/>
              <wp:docPr id="2"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C87901" id="Rectangle 37" o:spid="_x0000_s1026" style="position:absolute;margin-left:0;margin-top:35.45pt;width:540.85pt;height:28.3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" fillcolor="#1f3671" stroked="f" strokeweight="1pt">
              <w10:wrap anchorx="page" anchory="page"/>
            </v:rect>
          </w:pict>
        </mc:Fallback>
      </mc:AlternateContent>
    </w:r>
    <w:r w:rsidRPr="00EE0C0C">
      <w:rPr>
        <w:rFonts w:ascii="Calibri Light" w:hAnsi="Calibri Light" w:cs="Calibri Light"/>
        <w:noProof/>
        <w:color w:val="000000" w:themeColor="text1"/>
        <w:lang w:val="en-GB" w:eastAsia="en-GB"/>
      </w:rPr>
      <mc:AlternateContent>
        <mc:Choice Requires="wps">
          <w:drawing>
            <wp:anchor distT="0" distB="0" distL="114300" distR="114300" simplePos="0" relativeHeight="251660288" behindDoc="0" locked="0" layoutInCell="1" allowOverlap="1" wp14:anchorId="421C6519" wp14:editId="565F4679">
              <wp:simplePos x="0" y="0"/>
              <wp:positionH relativeFrom="page">
                <wp:align>center</wp:align>
              </wp:positionH>
              <wp:positionV relativeFrom="page">
                <wp:posOffset>860425</wp:posOffset>
              </wp:positionV>
              <wp:extent cx="6868800" cy="180000"/>
              <wp:effectExtent l="0" t="0" r="1905" b="0"/>
              <wp:wrapNone/>
              <wp:docPr id="3"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A8889E" id="Rectangle 38" o:spid="_x0000_s1026" style="position:absolute;margin-left:0;margin-top:67.75pt;width:540.85pt;height:14.15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" fillcolor="#00b0f0" stroked="f" strokeweight="1p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77FC2" w14:textId="77777777" w:rsidR="00BD0982" w:rsidRPr="009137B2" w:rsidRDefault="00496F24" w:rsidP="00A0306E">
    <w:pPr>
      <w:rPr>
        <w:rFonts w:asciiTheme="majorBidi" w:hAnsiTheme="majorBidi" w:cstheme="majorBidi"/>
        <w:sz w:val="20"/>
        <w:szCs w:val="20"/>
      </w:rPr>
    </w:pPr>
    <w:r w:rsidRPr="008843D3">
      <w:rPr>
        <w:rFonts w:asciiTheme="majorBidi" w:hAnsiTheme="majorBidi" w:cstheme="majorBidi"/>
        <w:noProof/>
        <w:sz w:val="20"/>
        <w:szCs w:val="20"/>
        <w:lang w:val="en-GB" w:eastAsia="en-GB"/>
      </w:rPr>
      <mc:AlternateContent>
        <mc:Choice Requires="wps">
          <w:drawing>
            <wp:anchor distT="0" distB="0" distL="114300" distR="114300" simplePos="0" relativeHeight="251661312" behindDoc="0" locked="0" layoutInCell="1" allowOverlap="0" wp14:anchorId="201F7A5C" wp14:editId="72A5CC33">
              <wp:simplePos x="0" y="0"/>
              <wp:positionH relativeFrom="page">
                <wp:align>center</wp:align>
              </wp:positionH>
              <wp:positionV relativeFrom="page">
                <wp:posOffset>450215</wp:posOffset>
              </wp:positionV>
              <wp:extent cx="6868800" cy="360000"/>
              <wp:effectExtent l="0" t="0" r="1905" b="0"/>
              <wp:wrapNone/>
              <wp:docPr id="9"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DC880C" id="Rectangle 37" o:spid="_x0000_s1026" style="position:absolute;margin-left:0;margin-top:35.45pt;width:540.85pt;height:28.3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" o:allowoverlap="f" fillcolor="#1f3671" stroked="f" strokeweight="1pt">
              <w10:wrap anchorx="page" anchory="page"/>
            </v:rect>
          </w:pict>
        </mc:Fallback>
      </mc:AlternateContent>
    </w:r>
    <w:r w:rsidRPr="008843D3">
      <w:rPr>
        <w:rFonts w:asciiTheme="majorBidi" w:hAnsiTheme="majorBidi" w:cstheme="majorBidi"/>
        <w:noProof/>
        <w:sz w:val="20"/>
        <w:szCs w:val="20"/>
        <w:lang w:val="en-GB" w:eastAsia="en-GB"/>
      </w:rPr>
      <mc:AlternateContent>
        <mc:Choice Requires="wps">
          <w:drawing>
            <wp:anchor distT="0" distB="0" distL="114300" distR="114300" simplePos="0" relativeHeight="251662336" behindDoc="0" locked="0" layoutInCell="1" allowOverlap="1" wp14:anchorId="5D97A3E1" wp14:editId="1D76E98C">
              <wp:simplePos x="0" y="0"/>
              <wp:positionH relativeFrom="page">
                <wp:align>center</wp:align>
              </wp:positionH>
              <wp:positionV relativeFrom="page">
                <wp:posOffset>860425</wp:posOffset>
              </wp:positionV>
              <wp:extent cx="6868800" cy="180000"/>
              <wp:effectExtent l="0" t="0" r="1905" b="0"/>
              <wp:wrapNone/>
              <wp:docPr id="10"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B85373" id="Rectangle 38" o:spid="_x0000_s1026" style="position:absolute;margin-left:0;margin-top:67.75pt;width:540.85pt;height:14.1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" fillcolor="#00b0f0"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571D0"/>
    <w:multiLevelType w:val="multilevel"/>
    <w:tmpl w:val="E35CC12A"/>
    <w:lvl w:ilvl="0">
      <w:start w:val="1"/>
      <w:numFmt w:val="decimal"/>
      <w:lvlText w:val="%1."/>
      <w:lvlJc w:val="left"/>
      <w:pPr>
        <w:ind w:left="786" w:hanging="360"/>
      </w:pPr>
      <w:rPr>
        <w:rFonts w:hint="default"/>
      </w:rPr>
    </w:lvl>
    <w:lvl w:ilvl="1">
      <w:start w:val="1"/>
      <w:numFmt w:val="decimal"/>
      <w:isLgl/>
      <w:lvlText w:val="%1.%2"/>
      <w:lvlJc w:val="left"/>
      <w:pPr>
        <w:ind w:left="1136" w:hanging="360"/>
      </w:pPr>
      <w:rPr>
        <w:rFonts w:ascii="Cambria" w:eastAsia="Calibri" w:hAnsi="Cambria" w:cs="Calibri" w:hint="default"/>
      </w:rPr>
    </w:lvl>
    <w:lvl w:ilvl="2">
      <w:start w:val="1"/>
      <w:numFmt w:val="decimal"/>
      <w:isLgl/>
      <w:lvlText w:val="%1.%2.%3"/>
      <w:lvlJc w:val="left"/>
      <w:pPr>
        <w:ind w:left="3306" w:hanging="720"/>
      </w:pPr>
      <w:rPr>
        <w:rFonts w:ascii="Cambria" w:eastAsia="Calibri" w:hAnsi="Cambria" w:cs="Calibri" w:hint="default"/>
      </w:rPr>
    </w:lvl>
    <w:lvl w:ilvl="3">
      <w:start w:val="1"/>
      <w:numFmt w:val="decimal"/>
      <w:isLgl/>
      <w:lvlText w:val="%1.%2.%3.%4"/>
      <w:lvlJc w:val="left"/>
      <w:pPr>
        <w:ind w:left="4746" w:hanging="1080"/>
      </w:pPr>
      <w:rPr>
        <w:rFonts w:ascii="Cambria" w:eastAsia="Calibri" w:hAnsi="Cambria" w:cs="Calibri" w:hint="default"/>
      </w:rPr>
    </w:lvl>
    <w:lvl w:ilvl="4">
      <w:start w:val="1"/>
      <w:numFmt w:val="decimal"/>
      <w:isLgl/>
      <w:lvlText w:val="%1.%2.%3.%4.%5"/>
      <w:lvlJc w:val="left"/>
      <w:pPr>
        <w:ind w:left="5826" w:hanging="1080"/>
      </w:pPr>
      <w:rPr>
        <w:rFonts w:ascii="Cambria" w:eastAsia="Calibri" w:hAnsi="Cambria" w:cs="Calibri" w:hint="default"/>
      </w:rPr>
    </w:lvl>
    <w:lvl w:ilvl="5">
      <w:start w:val="1"/>
      <w:numFmt w:val="decimal"/>
      <w:isLgl/>
      <w:lvlText w:val="%1.%2.%3.%4.%5.%6"/>
      <w:lvlJc w:val="left"/>
      <w:pPr>
        <w:ind w:left="7266" w:hanging="1440"/>
      </w:pPr>
      <w:rPr>
        <w:rFonts w:ascii="Cambria" w:eastAsia="Calibri" w:hAnsi="Cambria" w:cs="Calibri" w:hint="default"/>
      </w:rPr>
    </w:lvl>
    <w:lvl w:ilvl="6">
      <w:start w:val="1"/>
      <w:numFmt w:val="decimal"/>
      <w:isLgl/>
      <w:lvlText w:val="%1.%2.%3.%4.%5.%6.%7"/>
      <w:lvlJc w:val="left"/>
      <w:pPr>
        <w:ind w:left="8346" w:hanging="1440"/>
      </w:pPr>
      <w:rPr>
        <w:rFonts w:ascii="Cambria" w:eastAsia="Calibri" w:hAnsi="Cambria" w:cs="Calibri" w:hint="default"/>
      </w:rPr>
    </w:lvl>
    <w:lvl w:ilvl="7">
      <w:start w:val="1"/>
      <w:numFmt w:val="decimal"/>
      <w:isLgl/>
      <w:lvlText w:val="%1.%2.%3.%4.%5.%6.%7.%8"/>
      <w:lvlJc w:val="left"/>
      <w:pPr>
        <w:ind w:left="9786" w:hanging="1800"/>
      </w:pPr>
      <w:rPr>
        <w:rFonts w:ascii="Cambria" w:eastAsia="Calibri" w:hAnsi="Cambria" w:cs="Calibri" w:hint="default"/>
      </w:rPr>
    </w:lvl>
    <w:lvl w:ilvl="8">
      <w:start w:val="1"/>
      <w:numFmt w:val="decimal"/>
      <w:isLgl/>
      <w:lvlText w:val="%1.%2.%3.%4.%5.%6.%7.%8.%9"/>
      <w:lvlJc w:val="left"/>
      <w:pPr>
        <w:ind w:left="10866" w:hanging="1800"/>
      </w:pPr>
      <w:rPr>
        <w:rFonts w:ascii="Cambria" w:eastAsia="Calibri" w:hAnsi="Cambria" w:cs="Calibri" w:hint="default"/>
      </w:rPr>
    </w:lvl>
  </w:abstractNum>
  <w:abstractNum w:abstractNumId="1" w15:restartNumberingAfterBreak="0">
    <w:nsid w:val="05484E15"/>
    <w:multiLevelType w:val="hybridMultilevel"/>
    <w:tmpl w:val="ADAE6E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E453FA"/>
    <w:multiLevelType w:val="hybridMultilevel"/>
    <w:tmpl w:val="C35AEB3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9002C7"/>
    <w:multiLevelType w:val="hybridMultilevel"/>
    <w:tmpl w:val="259C3060"/>
    <w:lvl w:ilvl="0" w:tplc="EA72A69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8C74D4"/>
    <w:multiLevelType w:val="hybridMultilevel"/>
    <w:tmpl w:val="8A6CB5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83769E"/>
    <w:multiLevelType w:val="hybridMultilevel"/>
    <w:tmpl w:val="85128C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6B51B0"/>
    <w:multiLevelType w:val="hybridMultilevel"/>
    <w:tmpl w:val="4530C8F6"/>
    <w:lvl w:ilvl="0" w:tplc="0409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1F912E9E"/>
    <w:multiLevelType w:val="hybridMultilevel"/>
    <w:tmpl w:val="3EDCE52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DA1301D"/>
    <w:multiLevelType w:val="hybridMultilevel"/>
    <w:tmpl w:val="80F25664"/>
    <w:lvl w:ilvl="0" w:tplc="04090011">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00A3C36"/>
    <w:multiLevelType w:val="hybridMultilevel"/>
    <w:tmpl w:val="EBC6BD68"/>
    <w:lvl w:ilvl="0" w:tplc="AE46646C">
      <w:start w:val="1"/>
      <w:numFmt w:val="upperRoman"/>
      <w:lvlText w:val="%1."/>
      <w:lvlJc w:val="left"/>
      <w:pPr>
        <w:ind w:left="780" w:hanging="720"/>
      </w:pPr>
      <w:rPr>
        <w:rFonts w:hint="default"/>
        <w:b/>
        <w:bCs/>
        <w:color w:val="000000" w:themeColor="text1"/>
        <w:sz w:val="24"/>
        <w:szCs w:val="24"/>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0" w15:restartNumberingAfterBreak="0">
    <w:nsid w:val="436A6F72"/>
    <w:multiLevelType w:val="hybridMultilevel"/>
    <w:tmpl w:val="89FE5626"/>
    <w:lvl w:ilvl="0" w:tplc="3EE6775C">
      <w:start w:val="1"/>
      <w:numFmt w:val="upperRoman"/>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D51D76"/>
    <w:multiLevelType w:val="hybridMultilevel"/>
    <w:tmpl w:val="8E141106"/>
    <w:lvl w:ilvl="0" w:tplc="B2829932">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58E75C7E"/>
    <w:multiLevelType w:val="hybridMultilevel"/>
    <w:tmpl w:val="8E141106"/>
    <w:lvl w:ilvl="0" w:tplc="B2829932">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59294951"/>
    <w:multiLevelType w:val="hybridMultilevel"/>
    <w:tmpl w:val="0824D0FC"/>
    <w:lvl w:ilvl="0" w:tplc="98E2AD9C">
      <w:start w:val="1"/>
      <w:numFmt w:val="upperRoman"/>
      <w:lvlText w:val="%1."/>
      <w:lvlJc w:val="left"/>
      <w:pPr>
        <w:ind w:left="1080" w:hanging="720"/>
      </w:pPr>
      <w:rPr>
        <w:b/>
        <w:bCs/>
        <w:i w:val="0"/>
        <w:iCs/>
        <w:lang w:val="ro-RO"/>
      </w:rPr>
    </w:lvl>
    <w:lvl w:ilvl="1" w:tplc="04090019">
      <w:start w:val="1"/>
      <w:numFmt w:val="lowerLetter"/>
      <w:lvlText w:val="%2."/>
      <w:lvlJc w:val="left"/>
      <w:pPr>
        <w:ind w:left="1440" w:hanging="360"/>
      </w:pPr>
    </w:lvl>
    <w:lvl w:ilvl="2" w:tplc="FB0A615E">
      <w:start w:val="1"/>
      <w:numFmt w:val="decimal"/>
      <w:lvlText w:val="%3."/>
      <w:lvlJc w:val="left"/>
      <w:pPr>
        <w:ind w:left="2340" w:hanging="360"/>
      </w:pPr>
      <w:rPr>
        <w:rFonts w:cstheme="majorBidi"/>
        <w:color w:val="000000" w:themeColor="text1"/>
        <w:sz w:val="22"/>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9957870"/>
    <w:multiLevelType w:val="hybridMultilevel"/>
    <w:tmpl w:val="0FF69E26"/>
    <w:lvl w:ilvl="0" w:tplc="6CE899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126FE9"/>
    <w:multiLevelType w:val="hybridMultilevel"/>
    <w:tmpl w:val="4AD2EA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D860961"/>
    <w:multiLevelType w:val="hybridMultilevel"/>
    <w:tmpl w:val="DA9A08D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25F033E"/>
    <w:multiLevelType w:val="hybridMultilevel"/>
    <w:tmpl w:val="D0803EA6"/>
    <w:lvl w:ilvl="0" w:tplc="25EE9738">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29849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23750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40902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1227022">
    <w:abstractNumId w:val="2"/>
  </w:num>
  <w:num w:numId="5" w16cid:durableId="2049599240">
    <w:abstractNumId w:val="1"/>
  </w:num>
  <w:num w:numId="6" w16cid:durableId="996108961">
    <w:abstractNumId w:val="11"/>
  </w:num>
  <w:num w:numId="7" w16cid:durableId="98986001">
    <w:abstractNumId w:val="12"/>
  </w:num>
  <w:num w:numId="8" w16cid:durableId="67924202">
    <w:abstractNumId w:val="8"/>
  </w:num>
  <w:num w:numId="9" w16cid:durableId="935987091">
    <w:abstractNumId w:val="0"/>
  </w:num>
  <w:num w:numId="10" w16cid:durableId="1996953272">
    <w:abstractNumId w:val="6"/>
  </w:num>
  <w:num w:numId="11" w16cid:durableId="1688217316">
    <w:abstractNumId w:val="16"/>
  </w:num>
  <w:num w:numId="12" w16cid:durableId="531453513">
    <w:abstractNumId w:val="9"/>
  </w:num>
  <w:num w:numId="13" w16cid:durableId="451945720">
    <w:abstractNumId w:val="3"/>
  </w:num>
  <w:num w:numId="14" w16cid:durableId="1853303423">
    <w:abstractNumId w:val="14"/>
  </w:num>
  <w:num w:numId="15" w16cid:durableId="1450199631">
    <w:abstractNumId w:val="4"/>
  </w:num>
  <w:num w:numId="16" w16cid:durableId="1765300435">
    <w:abstractNumId w:val="5"/>
  </w:num>
  <w:num w:numId="17" w16cid:durableId="11499068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3044590">
    <w:abstractNumId w:val="17"/>
  </w:num>
  <w:num w:numId="19" w16cid:durableId="16568400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removePersonalInformation/>
  <w:removeDateAndTime/>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98A"/>
    <w:rsid w:val="0006340F"/>
    <w:rsid w:val="00093D5E"/>
    <w:rsid w:val="00097390"/>
    <w:rsid w:val="000E1521"/>
    <w:rsid w:val="001255FC"/>
    <w:rsid w:val="00157F29"/>
    <w:rsid w:val="002051E2"/>
    <w:rsid w:val="00272F37"/>
    <w:rsid w:val="003A2AB6"/>
    <w:rsid w:val="003B436A"/>
    <w:rsid w:val="003E120F"/>
    <w:rsid w:val="003F51EC"/>
    <w:rsid w:val="003F5269"/>
    <w:rsid w:val="00484D2A"/>
    <w:rsid w:val="00485B3E"/>
    <w:rsid w:val="00496F24"/>
    <w:rsid w:val="004E4D07"/>
    <w:rsid w:val="00570548"/>
    <w:rsid w:val="00580B5E"/>
    <w:rsid w:val="005B355F"/>
    <w:rsid w:val="00615E0B"/>
    <w:rsid w:val="00630616"/>
    <w:rsid w:val="00633B41"/>
    <w:rsid w:val="00636DDB"/>
    <w:rsid w:val="00663A84"/>
    <w:rsid w:val="006819BA"/>
    <w:rsid w:val="0072131E"/>
    <w:rsid w:val="00781440"/>
    <w:rsid w:val="00786F0C"/>
    <w:rsid w:val="007B5D20"/>
    <w:rsid w:val="00833B3E"/>
    <w:rsid w:val="00847C4A"/>
    <w:rsid w:val="008755EC"/>
    <w:rsid w:val="008B1565"/>
    <w:rsid w:val="008D75DB"/>
    <w:rsid w:val="009E5B06"/>
    <w:rsid w:val="009F3F14"/>
    <w:rsid w:val="00A05A1B"/>
    <w:rsid w:val="00A64991"/>
    <w:rsid w:val="00A66C49"/>
    <w:rsid w:val="00A7255F"/>
    <w:rsid w:val="00A926A7"/>
    <w:rsid w:val="00AD1418"/>
    <w:rsid w:val="00B9698A"/>
    <w:rsid w:val="00BB2E6F"/>
    <w:rsid w:val="00BD0982"/>
    <w:rsid w:val="00C143F1"/>
    <w:rsid w:val="00C44B6D"/>
    <w:rsid w:val="00C72805"/>
    <w:rsid w:val="00CE47C8"/>
    <w:rsid w:val="00CF3768"/>
    <w:rsid w:val="00D209D9"/>
    <w:rsid w:val="00D22C79"/>
    <w:rsid w:val="00D75E97"/>
    <w:rsid w:val="00E12E53"/>
    <w:rsid w:val="00EA0954"/>
    <w:rsid w:val="00F20006"/>
    <w:rsid w:val="00F20335"/>
    <w:rsid w:val="00F209ED"/>
    <w:rsid w:val="00F750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DCC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E5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12E5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833B3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TOC ADB"/>
    <w:uiPriority w:val="99"/>
    <w:qFormat/>
    <w:rsid w:val="00E12E53"/>
    <w:rPr>
      <w:color w:val="0000FF"/>
      <w:u w:val="single"/>
    </w:rPr>
  </w:style>
  <w:style w:type="paragraph" w:styleId="FootnoteText">
    <w:name w:val="footnote text"/>
    <w:basedOn w:val="Normal"/>
    <w:link w:val="FootnoteTextChar"/>
    <w:uiPriority w:val="99"/>
    <w:semiHidden/>
    <w:rsid w:val="00E12E53"/>
    <w:rPr>
      <w:sz w:val="20"/>
      <w:szCs w:val="20"/>
    </w:rPr>
  </w:style>
  <w:style w:type="character" w:customStyle="1" w:styleId="FootnoteTextChar">
    <w:name w:val="Footnote Text Char"/>
    <w:basedOn w:val="DefaultParagraphFont"/>
    <w:link w:val="FootnoteText"/>
    <w:uiPriority w:val="99"/>
    <w:semiHidden/>
    <w:rsid w:val="00E12E53"/>
    <w:rPr>
      <w:rFonts w:ascii="Times New Roman" w:eastAsia="Times New Roman" w:hAnsi="Times New Roman" w:cs="Times New Roman"/>
      <w:sz w:val="20"/>
      <w:szCs w:val="20"/>
    </w:rPr>
  </w:style>
  <w:style w:type="character" w:styleId="FootnoteReference">
    <w:name w:val="footnote reference"/>
    <w:uiPriority w:val="99"/>
    <w:semiHidden/>
    <w:rsid w:val="00E12E53"/>
    <w:rPr>
      <w:vertAlign w:val="superscript"/>
    </w:rPr>
  </w:style>
  <w:style w:type="paragraph" w:styleId="Header">
    <w:name w:val="header"/>
    <w:basedOn w:val="Normal"/>
    <w:link w:val="HeaderChar"/>
    <w:rsid w:val="00E12E53"/>
    <w:pPr>
      <w:pBdr>
        <w:bottom w:val="single" w:sz="4" w:space="1" w:color="000000"/>
      </w:pBdr>
      <w:tabs>
        <w:tab w:val="right" w:pos="9000"/>
      </w:tabs>
      <w:jc w:val="both"/>
    </w:pPr>
    <w:rPr>
      <w:sz w:val="20"/>
      <w:szCs w:val="20"/>
    </w:rPr>
  </w:style>
  <w:style w:type="character" w:customStyle="1" w:styleId="HeaderChar">
    <w:name w:val="Header Char"/>
    <w:basedOn w:val="DefaultParagraphFont"/>
    <w:link w:val="Header"/>
    <w:rsid w:val="00E12E53"/>
    <w:rPr>
      <w:rFonts w:ascii="Times New Roman" w:eastAsia="Times New Roman" w:hAnsi="Times New Roman" w:cs="Times New Roman"/>
      <w:sz w:val="20"/>
      <w:szCs w:val="20"/>
    </w:rPr>
  </w:style>
  <w:style w:type="paragraph" w:styleId="Footer">
    <w:name w:val="footer"/>
    <w:basedOn w:val="Normal"/>
    <w:link w:val="FooterChar"/>
    <w:uiPriority w:val="99"/>
    <w:rsid w:val="00E12E53"/>
    <w:pPr>
      <w:tabs>
        <w:tab w:val="center" w:pos="4320"/>
        <w:tab w:val="right" w:pos="8640"/>
      </w:tabs>
    </w:pPr>
  </w:style>
  <w:style w:type="character" w:customStyle="1" w:styleId="FooterChar">
    <w:name w:val="Footer Char"/>
    <w:basedOn w:val="DefaultParagraphFont"/>
    <w:link w:val="Footer"/>
    <w:uiPriority w:val="99"/>
    <w:rsid w:val="00E12E53"/>
    <w:rPr>
      <w:rFonts w:ascii="Times New Roman" w:eastAsia="Times New Roman" w:hAnsi="Times New Roman" w:cs="Times New Roman"/>
      <w:sz w:val="24"/>
      <w:szCs w:val="24"/>
    </w:rPr>
  </w:style>
  <w:style w:type="paragraph" w:customStyle="1" w:styleId="Heading1a">
    <w:name w:val="Heading 1a"/>
    <w:basedOn w:val="Heading1"/>
    <w:next w:val="Normal"/>
    <w:rsid w:val="00E12E53"/>
    <w:pPr>
      <w:spacing w:before="0" w:after="360"/>
      <w:jc w:val="center"/>
      <w:outlineLvl w:val="9"/>
    </w:pPr>
    <w:rPr>
      <w:rFonts w:ascii="Times New Roman" w:eastAsia="Times New Roman" w:hAnsi="Times New Roman" w:cs="Times New Roman"/>
      <w:b/>
      <w:color w:val="auto"/>
      <w:szCs w:val="20"/>
    </w:rPr>
  </w:style>
  <w:style w:type="character" w:customStyle="1" w:styleId="Heading1Char">
    <w:name w:val="Heading 1 Char"/>
    <w:basedOn w:val="DefaultParagraphFont"/>
    <w:link w:val="Heading1"/>
    <w:uiPriority w:val="9"/>
    <w:rsid w:val="00E12E53"/>
    <w:rPr>
      <w:rFonts w:asciiTheme="majorHAnsi" w:eastAsiaTheme="majorEastAsia" w:hAnsiTheme="majorHAnsi" w:cstheme="majorBidi"/>
      <w:color w:val="2F5496" w:themeColor="accent1" w:themeShade="BF"/>
      <w:sz w:val="32"/>
      <w:szCs w:val="32"/>
    </w:rPr>
  </w:style>
  <w:style w:type="paragraph" w:styleId="ListParagraph">
    <w:name w:val="List Paragraph"/>
    <w:aliases w:val="Numbered paragraph,List Bullet-OpsManual,Medium Grid 1 - Accent 21,List Paragraph-ExecSummary,Medium Grid 1 Accent 2,Paragraphe de liste,List Paragraph11,References,Paragraphe  revu,List Paragraph1,Citation List,본문(내용),NUMBERED PARAGRAPH"/>
    <w:basedOn w:val="Normal"/>
    <w:link w:val="ListParagraphChar"/>
    <w:uiPriority w:val="34"/>
    <w:qFormat/>
    <w:rsid w:val="00E12E53"/>
    <w:pPr>
      <w:ind w:left="720"/>
    </w:pPr>
    <w:rPr>
      <w:rFonts w:ascii="Calibri" w:eastAsiaTheme="minorHAnsi" w:hAnsi="Calibri" w:cs="Calibri"/>
      <w:sz w:val="22"/>
      <w:szCs w:val="22"/>
    </w:rPr>
  </w:style>
  <w:style w:type="character" w:customStyle="1" w:styleId="ListParagraphChar">
    <w:name w:val="List Paragraph Char"/>
    <w:aliases w:val="Numbered paragraph Char,List Bullet-OpsManual Char,Medium Grid 1 - Accent 21 Char,List Paragraph-ExecSummary Char,Medium Grid 1 Accent 2 Char,Paragraphe de liste Char,List Paragraph11 Char,References Char,Paragraphe  revu Char"/>
    <w:link w:val="ListParagraph"/>
    <w:uiPriority w:val="34"/>
    <w:qFormat/>
    <w:locked/>
    <w:rsid w:val="00580B5E"/>
    <w:rPr>
      <w:rFonts w:ascii="Calibri" w:hAnsi="Calibri" w:cs="Calibri"/>
    </w:rPr>
  </w:style>
  <w:style w:type="paragraph" w:customStyle="1" w:styleId="Outline2">
    <w:name w:val="Outline2"/>
    <w:basedOn w:val="Normal"/>
    <w:rsid w:val="009E5B06"/>
    <w:pPr>
      <w:tabs>
        <w:tab w:val="left" w:pos="864"/>
      </w:tabs>
      <w:spacing w:before="240"/>
      <w:ind w:left="864" w:hanging="504"/>
    </w:pPr>
    <w:rPr>
      <w:kern w:val="28"/>
      <w:szCs w:val="20"/>
      <w:lang w:val="en-GB"/>
    </w:rPr>
  </w:style>
  <w:style w:type="paragraph" w:styleId="NormalWeb">
    <w:name w:val="Normal (Web)"/>
    <w:basedOn w:val="Normal"/>
    <w:uiPriority w:val="99"/>
    <w:unhideWhenUsed/>
    <w:rsid w:val="00663A84"/>
    <w:pPr>
      <w:spacing w:before="100" w:beforeAutospacing="1" w:after="100" w:afterAutospacing="1"/>
    </w:pPr>
  </w:style>
  <w:style w:type="paragraph" w:styleId="BalloonText">
    <w:name w:val="Balloon Text"/>
    <w:basedOn w:val="Normal"/>
    <w:link w:val="BalloonTextChar"/>
    <w:uiPriority w:val="99"/>
    <w:semiHidden/>
    <w:unhideWhenUsed/>
    <w:rsid w:val="00157F29"/>
    <w:rPr>
      <w:rFonts w:ascii="Tahoma" w:hAnsi="Tahoma" w:cs="Tahoma"/>
      <w:sz w:val="16"/>
      <w:szCs w:val="16"/>
    </w:rPr>
  </w:style>
  <w:style w:type="character" w:customStyle="1" w:styleId="BalloonTextChar">
    <w:name w:val="Balloon Text Char"/>
    <w:basedOn w:val="DefaultParagraphFont"/>
    <w:link w:val="BalloonText"/>
    <w:uiPriority w:val="99"/>
    <w:semiHidden/>
    <w:rsid w:val="00157F29"/>
    <w:rPr>
      <w:rFonts w:ascii="Tahoma" w:eastAsia="Times New Roman" w:hAnsi="Tahoma" w:cs="Tahoma"/>
      <w:sz w:val="16"/>
      <w:szCs w:val="16"/>
    </w:rPr>
  </w:style>
  <w:style w:type="character" w:customStyle="1" w:styleId="Heading4Char">
    <w:name w:val="Heading 4 Char"/>
    <w:basedOn w:val="DefaultParagraphFont"/>
    <w:link w:val="Heading4"/>
    <w:uiPriority w:val="9"/>
    <w:semiHidden/>
    <w:rsid w:val="00833B3E"/>
    <w:rPr>
      <w:rFonts w:asciiTheme="majorHAnsi" w:eastAsiaTheme="majorEastAsia" w:hAnsiTheme="majorHAnsi" w:cstheme="majorBidi"/>
      <w:i/>
      <w:iCs/>
      <w:color w:val="2F5496" w:themeColor="accent1" w:themeShade="BF"/>
      <w:sz w:val="24"/>
      <w:szCs w:val="24"/>
    </w:rPr>
  </w:style>
  <w:style w:type="table" w:styleId="TableGrid">
    <w:name w:val="Table Grid"/>
    <w:basedOn w:val="TableNormal"/>
    <w:uiPriority w:val="59"/>
    <w:rsid w:val="00833B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833B3E"/>
    <w:rPr>
      <w:b/>
      <w:bCs/>
      <w:smallCaps/>
      <w:color w:val="4472C4" w:themeColor="accent1"/>
      <w:spacing w:val="5"/>
    </w:rPr>
  </w:style>
  <w:style w:type="character" w:customStyle="1" w:styleId="UnresolvedMention1">
    <w:name w:val="Unresolved Mention1"/>
    <w:basedOn w:val="DefaultParagraphFont"/>
    <w:uiPriority w:val="99"/>
    <w:semiHidden/>
    <w:unhideWhenUsed/>
    <w:rsid w:val="00CE47C8"/>
    <w:rPr>
      <w:color w:val="605E5C"/>
      <w:shd w:val="clear" w:color="auto" w:fill="E1DFDD"/>
    </w:rPr>
  </w:style>
  <w:style w:type="character" w:styleId="CommentReference">
    <w:name w:val="annotation reference"/>
    <w:basedOn w:val="DefaultParagraphFont"/>
    <w:uiPriority w:val="99"/>
    <w:semiHidden/>
    <w:unhideWhenUsed/>
    <w:rsid w:val="004E4D07"/>
    <w:rPr>
      <w:sz w:val="16"/>
      <w:szCs w:val="16"/>
    </w:rPr>
  </w:style>
  <w:style w:type="paragraph" w:styleId="CommentText">
    <w:name w:val="annotation text"/>
    <w:basedOn w:val="Normal"/>
    <w:link w:val="CommentTextChar"/>
    <w:uiPriority w:val="99"/>
    <w:semiHidden/>
    <w:unhideWhenUsed/>
    <w:rsid w:val="004E4D07"/>
    <w:rPr>
      <w:sz w:val="20"/>
      <w:szCs w:val="20"/>
    </w:rPr>
  </w:style>
  <w:style w:type="character" w:customStyle="1" w:styleId="CommentTextChar">
    <w:name w:val="Comment Text Char"/>
    <w:basedOn w:val="DefaultParagraphFont"/>
    <w:link w:val="CommentText"/>
    <w:uiPriority w:val="99"/>
    <w:semiHidden/>
    <w:rsid w:val="004E4D0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E4D07"/>
    <w:rPr>
      <w:b/>
      <w:bCs/>
    </w:rPr>
  </w:style>
  <w:style w:type="character" w:customStyle="1" w:styleId="CommentSubjectChar">
    <w:name w:val="Comment Subject Char"/>
    <w:basedOn w:val="CommentTextChar"/>
    <w:link w:val="CommentSubject"/>
    <w:uiPriority w:val="99"/>
    <w:semiHidden/>
    <w:rsid w:val="004E4D07"/>
    <w:rPr>
      <w:rFonts w:ascii="Times New Roman" w:eastAsia="Times New Roman" w:hAnsi="Times New Roman" w:cs="Times New Roman"/>
      <w:b/>
      <w:bCs/>
      <w:sz w:val="20"/>
      <w:szCs w:val="20"/>
    </w:rPr>
  </w:style>
  <w:style w:type="paragraph" w:styleId="Revision">
    <w:name w:val="Revision"/>
    <w:hidden/>
    <w:uiPriority w:val="99"/>
    <w:semiHidden/>
    <w:rsid w:val="00F209E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833793">
      <w:bodyDiv w:val="1"/>
      <w:marLeft w:val="0"/>
      <w:marRight w:val="0"/>
      <w:marTop w:val="0"/>
      <w:marBottom w:val="0"/>
      <w:divBdr>
        <w:top w:val="none" w:sz="0" w:space="0" w:color="auto"/>
        <w:left w:val="none" w:sz="0" w:space="0" w:color="auto"/>
        <w:bottom w:val="none" w:sz="0" w:space="0" w:color="auto"/>
        <w:right w:val="none" w:sz="0" w:space="0" w:color="auto"/>
      </w:divBdr>
    </w:div>
    <w:div w:id="308445044">
      <w:bodyDiv w:val="1"/>
      <w:marLeft w:val="0"/>
      <w:marRight w:val="0"/>
      <w:marTop w:val="0"/>
      <w:marBottom w:val="0"/>
      <w:divBdr>
        <w:top w:val="none" w:sz="0" w:space="0" w:color="auto"/>
        <w:left w:val="none" w:sz="0" w:space="0" w:color="auto"/>
        <w:bottom w:val="none" w:sz="0" w:space="0" w:color="auto"/>
        <w:right w:val="none" w:sz="0" w:space="0" w:color="auto"/>
      </w:divBdr>
    </w:div>
    <w:div w:id="575629394">
      <w:bodyDiv w:val="1"/>
      <w:marLeft w:val="0"/>
      <w:marRight w:val="0"/>
      <w:marTop w:val="0"/>
      <w:marBottom w:val="0"/>
      <w:divBdr>
        <w:top w:val="none" w:sz="0" w:space="0" w:color="auto"/>
        <w:left w:val="none" w:sz="0" w:space="0" w:color="auto"/>
        <w:bottom w:val="none" w:sz="0" w:space="0" w:color="auto"/>
        <w:right w:val="none" w:sz="0" w:space="0" w:color="auto"/>
      </w:divBdr>
    </w:div>
    <w:div w:id="580524562">
      <w:bodyDiv w:val="1"/>
      <w:marLeft w:val="0"/>
      <w:marRight w:val="0"/>
      <w:marTop w:val="0"/>
      <w:marBottom w:val="0"/>
      <w:divBdr>
        <w:top w:val="none" w:sz="0" w:space="0" w:color="auto"/>
        <w:left w:val="none" w:sz="0" w:space="0" w:color="auto"/>
        <w:bottom w:val="none" w:sz="0" w:space="0" w:color="auto"/>
        <w:right w:val="none" w:sz="0" w:space="0" w:color="auto"/>
      </w:divBdr>
    </w:div>
    <w:div w:id="678390022">
      <w:bodyDiv w:val="1"/>
      <w:marLeft w:val="0"/>
      <w:marRight w:val="0"/>
      <w:marTop w:val="0"/>
      <w:marBottom w:val="0"/>
      <w:divBdr>
        <w:top w:val="none" w:sz="0" w:space="0" w:color="auto"/>
        <w:left w:val="none" w:sz="0" w:space="0" w:color="auto"/>
        <w:bottom w:val="none" w:sz="0" w:space="0" w:color="auto"/>
        <w:right w:val="none" w:sz="0" w:space="0" w:color="auto"/>
      </w:divBdr>
    </w:div>
    <w:div w:id="87504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ucipifad.md" TargetMode="External"/><Relationship Id="rId13" Type="http://schemas.openxmlformats.org/officeDocument/2006/relationships/image" Target="media/image2.png"/><Relationship Id="rId18" Type="http://schemas.openxmlformats.org/officeDocument/2006/relationships/hyperlink" Target="http://www.ucipifad.md/"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www.ifad.org/project-procurement" TargetMode="External"/><Relationship Id="rId12" Type="http://schemas.openxmlformats.org/officeDocument/2006/relationships/hyperlink" Target="https://www.instagram.com/ucip_ifad_moldova/?hl=en" TargetMode="External"/><Relationship Id="rId17" Type="http://schemas.openxmlformats.org/officeDocument/2006/relationships/image" Target="media/image4.pn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ok.ru/ucipifad.moldova"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oter" Target="footer2.xml"/><Relationship Id="rId10" Type="http://schemas.openxmlformats.org/officeDocument/2006/relationships/hyperlink" Target="https://www.facebook.com/UCIPIFAD/"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mailto:procurement@ucipifad.md" TargetMode="External"/><Relationship Id="rId14" Type="http://schemas.openxmlformats.org/officeDocument/2006/relationships/hyperlink" Target="https://www.youtube.com/channel/UCkUuUiWBgnSadHueaHFGcSA?view_as=subscriber"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1689</Words>
  <Characters>9633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2022-04-25T06:13:00Z</dcterms:created>
  <dcterms:modified xsi:type="dcterms:W3CDTF">2024-07-19T10:45:00Z</dcterms:modified>
</cp:coreProperties>
</file>