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7B944919" w14:textId="77777777" w:rsidR="0038298F" w:rsidRDefault="0038298F" w:rsidP="003B28E8">
      <w:pPr>
        <w:pStyle w:val="SectionXHeading"/>
        <w:spacing w:line="960" w:lineRule="exact"/>
        <w:jc w:val="left"/>
        <w:rPr>
          <w:rFonts w:ascii="Arial" w:hAnsi="Arial" w:cs="Arial"/>
          <w:sz w:val="96"/>
          <w:szCs w:val="96"/>
        </w:rPr>
      </w:pPr>
    </w:p>
    <w:p w14:paraId="612AA0AF" w14:textId="77777777" w:rsidR="0038298F" w:rsidRDefault="0038298F" w:rsidP="00F77F1A">
      <w:pPr>
        <w:pStyle w:val="SectionXHeading"/>
        <w:spacing w:line="960" w:lineRule="exact"/>
        <w:ind w:left="-567"/>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63C64D01" w14:textId="77777777" w:rsidR="00176D76" w:rsidRDefault="00176D76" w:rsidP="00031465">
      <w:pPr>
        <w:jc w:val="center"/>
        <w:rPr>
          <w:rFonts w:ascii="Arial" w:hAnsi="Arial" w:cs="Arial"/>
          <w:b/>
          <w:sz w:val="48"/>
          <w:szCs w:val="48"/>
        </w:rPr>
      </w:pPr>
    </w:p>
    <w:p w14:paraId="104FEF6C" w14:textId="77777777" w:rsidR="00176D76" w:rsidRDefault="00176D76" w:rsidP="00031465">
      <w:pPr>
        <w:jc w:val="cente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576D1254" w14:textId="77777777" w:rsidR="00363272" w:rsidRPr="00363272" w:rsidRDefault="00363272" w:rsidP="00363272">
      <w:pPr>
        <w:jc w:val="center"/>
        <w:rPr>
          <w:rFonts w:ascii="Cambria" w:hAnsi="Cambria" w:cs="Arial"/>
          <w:b/>
          <w:i/>
          <w:iCs/>
          <w:sz w:val="44"/>
          <w:szCs w:val="44"/>
        </w:rPr>
      </w:pPr>
      <w:r w:rsidRPr="00363272">
        <w:rPr>
          <w:rFonts w:ascii="Cambria" w:hAnsi="Cambria" w:cs="Arial"/>
          <w:b/>
          <w:i/>
          <w:iCs/>
          <w:sz w:val="44"/>
          <w:szCs w:val="44"/>
        </w:rPr>
        <w:t xml:space="preserve">Individual consultant for the position of </w:t>
      </w:r>
    </w:p>
    <w:p w14:paraId="2BBDD6B2" w14:textId="1503ABEF" w:rsidR="00363272" w:rsidRDefault="005A5880" w:rsidP="00363272">
      <w:pPr>
        <w:jc w:val="center"/>
        <w:rPr>
          <w:rFonts w:ascii="Cambria" w:hAnsi="Cambria" w:cs="Arial"/>
          <w:b/>
          <w:i/>
          <w:iCs/>
          <w:sz w:val="44"/>
          <w:szCs w:val="44"/>
        </w:rPr>
      </w:pPr>
      <w:bookmarkStart w:id="0" w:name="_Hlk184999725"/>
      <w:r w:rsidRPr="005A5880">
        <w:rPr>
          <w:rFonts w:ascii="Cambria" w:hAnsi="Cambria" w:cs="Arial"/>
          <w:b/>
          <w:i/>
          <w:iCs/>
          <w:sz w:val="44"/>
          <w:szCs w:val="44"/>
        </w:rPr>
        <w:t>Agribusiness Development Specialist</w:t>
      </w:r>
    </w:p>
    <w:bookmarkEnd w:id="0"/>
    <w:p w14:paraId="624EF6A6" w14:textId="77777777" w:rsidR="004D268A" w:rsidRDefault="004D268A" w:rsidP="00363272">
      <w:pPr>
        <w:jc w:val="center"/>
        <w:rPr>
          <w:rFonts w:ascii="Arial" w:hAnsi="Arial" w:cs="Arial"/>
          <w:b/>
          <w:bCs/>
          <w:sz w:val="28"/>
          <w:szCs w:val="20"/>
          <w:lang w:val="en-GB" w:eastAsia="ru-RU"/>
        </w:rPr>
      </w:pPr>
    </w:p>
    <w:p w14:paraId="3389847D" w14:textId="727070BA" w:rsidR="0038298F" w:rsidRPr="00363272" w:rsidRDefault="0038298F" w:rsidP="00363272">
      <w:pPr>
        <w:jc w:val="center"/>
        <w:rPr>
          <w:rFonts w:ascii="Arial" w:hAnsi="Arial" w:cs="Arial"/>
          <w:b/>
          <w:bCs/>
          <w:color w:val="00B0F0"/>
          <w:sz w:val="28"/>
          <w:szCs w:val="20"/>
          <w:lang w:val="en-GB" w:eastAsia="ru-RU"/>
        </w:rPr>
      </w:pPr>
      <w:r w:rsidRPr="00363272">
        <w:rPr>
          <w:rFonts w:ascii="Arial" w:hAnsi="Arial" w:cs="Arial"/>
          <w:b/>
          <w:bCs/>
          <w:color w:val="00B0F0"/>
          <w:sz w:val="28"/>
          <w:szCs w:val="20"/>
          <w:lang w:val="en-GB" w:eastAsia="ru-RU"/>
        </w:rPr>
        <w:t xml:space="preserve">Ref No: </w:t>
      </w:r>
      <w:r w:rsidR="00DB34A0">
        <w:rPr>
          <w:rFonts w:ascii="Arial" w:hAnsi="Arial" w:cs="Arial"/>
          <w:b/>
          <w:bCs/>
          <w:color w:val="00B0F0"/>
          <w:sz w:val="28"/>
          <w:szCs w:val="20"/>
          <w:lang w:val="en-GB" w:eastAsia="ru-RU"/>
        </w:rPr>
        <w:t>3</w:t>
      </w:r>
      <w:r w:rsidR="005A5880">
        <w:rPr>
          <w:rFonts w:ascii="Arial" w:hAnsi="Arial" w:cs="Arial"/>
          <w:b/>
          <w:bCs/>
          <w:color w:val="00B0F0"/>
          <w:sz w:val="28"/>
          <w:szCs w:val="20"/>
          <w:lang w:val="en-GB" w:eastAsia="ru-RU"/>
        </w:rPr>
        <w:t>6</w:t>
      </w:r>
      <w:r w:rsidRPr="00363272">
        <w:rPr>
          <w:rFonts w:ascii="Arial" w:hAnsi="Arial" w:cs="Arial"/>
          <w:b/>
          <w:bCs/>
          <w:color w:val="00B0F0"/>
          <w:sz w:val="28"/>
          <w:szCs w:val="20"/>
          <w:lang w:val="en-GB" w:eastAsia="ru-RU"/>
        </w:rPr>
        <w:t>/2</w:t>
      </w:r>
      <w:r w:rsidR="004569E5">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 xml:space="preserve"> TRTP</w:t>
      </w:r>
    </w:p>
    <w:p w14:paraId="33C542F8" w14:textId="77777777" w:rsidR="0038298F" w:rsidRDefault="0038298F" w:rsidP="0038298F">
      <w:pPr>
        <w:rPr>
          <w:rFonts w:ascii="Arial" w:hAnsi="Arial" w:cs="Arial"/>
          <w:b/>
          <w:bCs/>
          <w:lang w:val="en-GB" w:eastAsia="ru-RU"/>
        </w:rPr>
      </w:pPr>
      <w:bookmarkStart w:id="1"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1B6CA54C" w14:textId="77777777" w:rsidR="0038298F" w:rsidRDefault="0038298F" w:rsidP="0038298F">
      <w:pPr>
        <w:rPr>
          <w:rFonts w:ascii="Arial" w:hAnsi="Arial" w:cs="Arial"/>
          <w:b/>
          <w:bCs/>
          <w:lang w:val="en-GB" w:eastAsia="ru-RU"/>
        </w:rPr>
      </w:pPr>
    </w:p>
    <w:p w14:paraId="478020A9"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30999DE3" w:rsidR="0038298F" w:rsidRPr="00363272" w:rsidRDefault="0038298F" w:rsidP="0038298F">
      <w:pPr>
        <w:rPr>
          <w:color w:val="00B0F0"/>
          <w:lang w:val="en-GB" w:eastAsia="ru-RU"/>
        </w:rPr>
      </w:pPr>
      <w:r w:rsidRPr="00363272">
        <w:rPr>
          <w:rFonts w:ascii="Arial" w:hAnsi="Arial" w:cs="Arial"/>
          <w:b/>
          <w:bCs/>
          <w:color w:val="00B0F0"/>
          <w:lang w:val="en-GB" w:eastAsia="ru-RU"/>
        </w:rPr>
        <w:t xml:space="preserve">Date: </w:t>
      </w:r>
      <w:r w:rsidR="00DB34A0">
        <w:rPr>
          <w:rFonts w:ascii="Arial" w:hAnsi="Arial" w:cs="Arial"/>
          <w:b/>
          <w:bCs/>
          <w:color w:val="00B0F0"/>
          <w:lang w:val="en-GB" w:eastAsia="ru-RU"/>
        </w:rPr>
        <w:t>17</w:t>
      </w:r>
      <w:r w:rsidR="00A66E36">
        <w:rPr>
          <w:rFonts w:ascii="Arial" w:hAnsi="Arial" w:cs="Arial"/>
          <w:b/>
          <w:bCs/>
          <w:color w:val="00B0F0"/>
          <w:lang w:val="en-GB" w:eastAsia="ru-RU"/>
        </w:rPr>
        <w:t>.</w:t>
      </w:r>
      <w:r w:rsidR="005F7196">
        <w:rPr>
          <w:rFonts w:ascii="Arial" w:hAnsi="Arial" w:cs="Arial"/>
          <w:b/>
          <w:bCs/>
          <w:color w:val="00B0F0"/>
          <w:lang w:val="en-GB" w:eastAsia="ru-RU"/>
        </w:rPr>
        <w:t>0</w:t>
      </w:r>
      <w:r w:rsidR="00DB34A0">
        <w:rPr>
          <w:rFonts w:ascii="Arial" w:hAnsi="Arial" w:cs="Arial"/>
          <w:b/>
          <w:bCs/>
          <w:color w:val="00B0F0"/>
          <w:lang w:val="en-GB" w:eastAsia="ru-RU"/>
        </w:rPr>
        <w:t>6</w:t>
      </w:r>
      <w:r w:rsidR="00A66E36">
        <w:rPr>
          <w:rFonts w:ascii="Arial" w:hAnsi="Arial" w:cs="Arial"/>
          <w:b/>
          <w:bCs/>
          <w:color w:val="00B0F0"/>
          <w:lang w:val="en-GB" w:eastAsia="ru-RU"/>
        </w:rPr>
        <w:t>.</w:t>
      </w:r>
      <w:r w:rsidRPr="00363272">
        <w:rPr>
          <w:rFonts w:ascii="Arial" w:hAnsi="Arial" w:cs="Arial"/>
          <w:b/>
          <w:bCs/>
          <w:color w:val="00B0F0"/>
          <w:lang w:val="en-GB" w:eastAsia="ru-RU"/>
        </w:rPr>
        <w:t>202</w:t>
      </w:r>
      <w:r w:rsidR="005F7196">
        <w:rPr>
          <w:rFonts w:ascii="Arial" w:hAnsi="Arial" w:cs="Arial"/>
          <w:b/>
          <w:bCs/>
          <w:color w:val="00B0F0"/>
          <w:lang w:val="en-GB" w:eastAsia="ru-RU"/>
        </w:rPr>
        <w:t>5</w:t>
      </w:r>
    </w:p>
    <w:bookmarkEnd w:id="1"/>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12755BEC" w14:textId="4664B1A0" w:rsidR="003148B0" w:rsidRPr="00232686" w:rsidRDefault="003148B0" w:rsidP="003073D0">
      <w:pPr>
        <w:ind w:left="403" w:right="403"/>
        <w:jc w:val="both"/>
        <w:rPr>
          <w:rFonts w:ascii="Cambria" w:hAnsi="Cambria" w:cs="Arial"/>
          <w:b/>
          <w:sz w:val="22"/>
          <w:szCs w:val="22"/>
        </w:rPr>
      </w:pPr>
      <w:r w:rsidRPr="00232686">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363272">
      <w:pPr>
        <w:rPr>
          <w:rFonts w:ascii="Arial" w:hAnsi="Arial" w:cs="Arial"/>
          <w:b/>
          <w:sz w:val="96"/>
          <w:szCs w:val="96"/>
        </w:rPr>
        <w:sectPr w:rsidR="003148B0" w:rsidRPr="007374DA"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6337F45B" w:rsidR="004D268A" w:rsidRDefault="00136E9A" w:rsidP="004D268A">
      <w:pPr>
        <w:suppressAutoHyphens/>
        <w:spacing w:before="240"/>
        <w:rPr>
          <w:rFonts w:ascii="Cambria" w:hAnsi="Cambria" w:cs="Arial"/>
          <w:b/>
          <w:i/>
          <w:iCs/>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5A5880" w:rsidRPr="005A5880">
        <w:rPr>
          <w:rFonts w:ascii="Cambria" w:hAnsi="Cambria" w:cs="Arial"/>
          <w:b/>
          <w:bCs/>
          <w:i/>
          <w:iCs/>
          <w:color w:val="4472C4" w:themeColor="accent1"/>
          <w:spacing w:val="-2"/>
          <w:sz w:val="22"/>
          <w:szCs w:val="22"/>
        </w:rPr>
        <w:t>Agribusiness Development Specialist</w:t>
      </w:r>
    </w:p>
    <w:p w14:paraId="77C84804" w14:textId="1EB546D0"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DB34A0">
        <w:rPr>
          <w:rFonts w:ascii="Cambria" w:hAnsi="Cambria" w:cs="Arial"/>
          <w:b/>
          <w:bCs/>
          <w:i/>
          <w:iCs/>
          <w:color w:val="4472C4" w:themeColor="accent1"/>
          <w:spacing w:val="-2"/>
          <w:sz w:val="22"/>
          <w:szCs w:val="22"/>
        </w:rPr>
        <w:t>3</w:t>
      </w:r>
      <w:r w:rsidR="005A5880">
        <w:rPr>
          <w:rFonts w:ascii="Cambria" w:hAnsi="Cambria" w:cs="Arial"/>
          <w:b/>
          <w:bCs/>
          <w:i/>
          <w:iCs/>
          <w:color w:val="4472C4" w:themeColor="accent1"/>
          <w:spacing w:val="-2"/>
          <w:sz w:val="22"/>
          <w:szCs w:val="22"/>
        </w:rPr>
        <w:t>6</w:t>
      </w:r>
      <w:r w:rsidR="00176D76" w:rsidRPr="004D268A">
        <w:rPr>
          <w:rFonts w:ascii="Cambria" w:hAnsi="Cambria" w:cs="Arial"/>
          <w:b/>
          <w:bCs/>
          <w:i/>
          <w:iCs/>
          <w:color w:val="4472C4" w:themeColor="accent1"/>
          <w:spacing w:val="-2"/>
          <w:sz w:val="22"/>
          <w:szCs w:val="22"/>
        </w:rPr>
        <w:t>/2</w:t>
      </w:r>
      <w:r w:rsidR="00A66E36">
        <w:rPr>
          <w:rFonts w:ascii="Cambria" w:hAnsi="Cambria" w:cs="Arial"/>
          <w:b/>
          <w:bCs/>
          <w:i/>
          <w:iCs/>
          <w:color w:val="4472C4" w:themeColor="accent1"/>
          <w:spacing w:val="-2"/>
          <w:sz w:val="22"/>
          <w:szCs w:val="22"/>
        </w:rPr>
        <w:t>5</w:t>
      </w:r>
      <w:r w:rsidR="00176D76" w:rsidRPr="004D268A">
        <w:rPr>
          <w:rFonts w:ascii="Cambria" w:hAnsi="Cambria" w:cs="Arial"/>
          <w:b/>
          <w:bCs/>
          <w:i/>
          <w:iCs/>
          <w:color w:val="4472C4" w:themeColor="accent1"/>
          <w:spacing w:val="-2"/>
          <w:sz w:val="22"/>
          <w:szCs w:val="22"/>
        </w:rPr>
        <w:t xml:space="preserve"> TRTP</w:t>
      </w:r>
    </w:p>
    <w:p w14:paraId="43758D23" w14:textId="20814817"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DB34A0">
        <w:rPr>
          <w:rFonts w:ascii="Cambria" w:hAnsi="Cambria" w:cs="Arial"/>
          <w:b/>
          <w:bCs/>
          <w:i/>
          <w:iCs/>
          <w:color w:val="4472C4" w:themeColor="accent1"/>
          <w:spacing w:val="-2"/>
          <w:sz w:val="22"/>
          <w:szCs w:val="22"/>
        </w:rPr>
        <w:t>17</w:t>
      </w:r>
      <w:r w:rsidR="00A66E36">
        <w:rPr>
          <w:rFonts w:ascii="Cambria" w:hAnsi="Cambria" w:cs="Arial"/>
          <w:b/>
          <w:bCs/>
          <w:i/>
          <w:iCs/>
          <w:color w:val="4472C4" w:themeColor="accent1"/>
          <w:spacing w:val="-2"/>
          <w:sz w:val="22"/>
          <w:szCs w:val="22"/>
        </w:rPr>
        <w:t>.</w:t>
      </w:r>
      <w:r w:rsidR="00A94B11">
        <w:rPr>
          <w:rFonts w:ascii="Cambria" w:hAnsi="Cambria" w:cs="Arial"/>
          <w:b/>
          <w:bCs/>
          <w:i/>
          <w:iCs/>
          <w:color w:val="4472C4" w:themeColor="accent1"/>
          <w:spacing w:val="-2"/>
          <w:sz w:val="22"/>
          <w:szCs w:val="22"/>
        </w:rPr>
        <w:t>0</w:t>
      </w:r>
      <w:r w:rsidR="00DB34A0">
        <w:rPr>
          <w:rFonts w:ascii="Cambria" w:hAnsi="Cambria" w:cs="Arial"/>
          <w:b/>
          <w:bCs/>
          <w:i/>
          <w:iCs/>
          <w:color w:val="4472C4" w:themeColor="accent1"/>
          <w:spacing w:val="-2"/>
          <w:sz w:val="22"/>
          <w:szCs w:val="22"/>
        </w:rPr>
        <w:t>6</w:t>
      </w:r>
      <w:r w:rsidR="00A66E36">
        <w:rPr>
          <w:rFonts w:ascii="Cambria" w:hAnsi="Cambria" w:cs="Arial"/>
          <w:b/>
          <w:bCs/>
          <w:i/>
          <w:iCs/>
          <w:color w:val="4472C4" w:themeColor="accent1"/>
          <w:spacing w:val="-2"/>
          <w:sz w:val="22"/>
          <w:szCs w:val="22"/>
        </w:rPr>
        <w:t>.</w:t>
      </w:r>
      <w:r w:rsidRPr="008961A6">
        <w:rPr>
          <w:rFonts w:ascii="Cambria" w:hAnsi="Cambria" w:cs="Arial"/>
          <w:b/>
          <w:bCs/>
          <w:i/>
          <w:iCs/>
          <w:color w:val="4472C4" w:themeColor="accent1"/>
          <w:spacing w:val="-2"/>
          <w:sz w:val="22"/>
          <w:szCs w:val="22"/>
        </w:rPr>
        <w:t>202</w:t>
      </w:r>
      <w:r w:rsidR="00A94B11">
        <w:rPr>
          <w:rFonts w:ascii="Cambria" w:hAnsi="Cambria" w:cs="Arial"/>
          <w:b/>
          <w:bCs/>
          <w:i/>
          <w:iCs/>
          <w:color w:val="4472C4" w:themeColor="accent1"/>
          <w:spacing w:val="-2"/>
          <w:sz w:val="22"/>
          <w:szCs w:val="22"/>
        </w:rPr>
        <w:t>5</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06501980"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Talent Retention for Rural Transformation Project (TRTP) was launched in 2021 with an implementation period of 6 years. The project aims to stimulate large-scale rural economic growth and reduce poverty through complementary investments. </w:t>
      </w:r>
    </w:p>
    <w:p w14:paraId="49EEF3FA"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aims to enable the rural poor, especially young people, women and small farmers, to increase their productive capacity, resilience to economic, environmental and climate risks and ensure their access to markets.</w:t>
      </w:r>
    </w:p>
    <w:p w14:paraId="18CE670C" w14:textId="6F12ABAA" w:rsidR="004D268A"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climate resilient infrastructure sub-component is designed to support investment in productive rural infrastructure, resilient rural economic transformation by removing bottlenecks and strengthening small farmers (up to 50 ha owned + rented)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feeder roads (linking the village to production areas and households).</w:t>
      </w:r>
    </w:p>
    <w:p w14:paraId="483C243A" w14:textId="77777777" w:rsidR="003B28E8" w:rsidRDefault="003B28E8" w:rsidP="003B28E8">
      <w:pPr>
        <w:suppressAutoHyphens/>
        <w:jc w:val="both"/>
        <w:rPr>
          <w:rFonts w:ascii="Cambria" w:hAnsi="Cambria" w:cs="Arial"/>
          <w:spacing w:val="-2"/>
          <w:sz w:val="22"/>
          <w:szCs w:val="22"/>
        </w:rPr>
      </w:pPr>
    </w:p>
    <w:p w14:paraId="1390FF10"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The assignment centers on the strategic coordination, implementation, and oversight of the Agribusiness Development sub-component under the IFAD-financed TRTP Project in the Republic of Moldova. Embedded within the CPIU IFAD structure, the role is essential in delivering tangible results in agricultural value chain development, rural entrepreneurship, and inclusive economic growth, in line with the Financing Agreement, Project Implementation Manual (PIM), and IFAD’s operational principles.</w:t>
      </w:r>
    </w:p>
    <w:p w14:paraId="3C95BBC4" w14:textId="77777777" w:rsidR="005A5880" w:rsidRPr="005A5880" w:rsidRDefault="005A5880" w:rsidP="005A5880">
      <w:pPr>
        <w:suppressAutoHyphens/>
        <w:jc w:val="both"/>
        <w:rPr>
          <w:rFonts w:ascii="Cambria" w:hAnsi="Cambria" w:cs="Arial"/>
          <w:spacing w:val="-2"/>
          <w:sz w:val="22"/>
          <w:szCs w:val="22"/>
        </w:rPr>
      </w:pPr>
    </w:p>
    <w:p w14:paraId="57511575"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Working under a results-oriented framework, the Agribusiness Development Specialist (ADS) is expected to lead the technical and operational planning of all sub-component activities, including the preparation and execution of Annual Work Plans and Budgets (AWPBs) and the provision of targeted support to agribusiness investments. The role requires a sound understanding of agri-food systems, value chain development, and rural market infrastructure.</w:t>
      </w:r>
    </w:p>
    <w:p w14:paraId="5CB11FBD" w14:textId="77777777" w:rsidR="005A5880" w:rsidRPr="005A5880" w:rsidRDefault="005A5880" w:rsidP="005A5880">
      <w:pPr>
        <w:suppressAutoHyphens/>
        <w:jc w:val="both"/>
        <w:rPr>
          <w:rFonts w:ascii="Cambria" w:hAnsi="Cambria" w:cs="Arial"/>
          <w:spacing w:val="-2"/>
          <w:sz w:val="22"/>
          <w:szCs w:val="22"/>
        </w:rPr>
      </w:pPr>
    </w:p>
    <w:p w14:paraId="121B87A1" w14:textId="77777777" w:rsidR="005A5880" w:rsidRPr="005A5880"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 xml:space="preserve">A key responsibility of the Specialist is to ensure full alignment of activities with agreed selection criteria, feasibility standards, and grant conditions, while maintaining close coordination with technical consultants, </w:t>
      </w:r>
      <w:r w:rsidRPr="005A5880">
        <w:rPr>
          <w:rFonts w:ascii="Cambria" w:hAnsi="Cambria" w:cs="Arial"/>
          <w:spacing w:val="-2"/>
          <w:sz w:val="22"/>
          <w:szCs w:val="22"/>
        </w:rPr>
        <w:lastRenderedPageBreak/>
        <w:t>national stakeholders, and private sector actors. This includes field-level supervision, quality assurance of deliverables, and guidance throughout the entire cycle — from grant application to implementation of business plans and civil works.</w:t>
      </w:r>
    </w:p>
    <w:p w14:paraId="452EE987" w14:textId="77777777" w:rsidR="005A5880" w:rsidRPr="005A5880" w:rsidRDefault="005A5880" w:rsidP="005A5880">
      <w:pPr>
        <w:suppressAutoHyphens/>
        <w:jc w:val="both"/>
        <w:rPr>
          <w:rFonts w:ascii="Cambria" w:hAnsi="Cambria" w:cs="Arial"/>
          <w:spacing w:val="-2"/>
          <w:sz w:val="22"/>
          <w:szCs w:val="22"/>
        </w:rPr>
      </w:pPr>
    </w:p>
    <w:p w14:paraId="5B8D37D2" w14:textId="33C1C92B" w:rsidR="003B28E8" w:rsidRPr="00232686" w:rsidRDefault="005A5880" w:rsidP="005A5880">
      <w:pPr>
        <w:suppressAutoHyphens/>
        <w:jc w:val="both"/>
        <w:rPr>
          <w:rFonts w:ascii="Cambria" w:hAnsi="Cambria" w:cs="Arial"/>
          <w:spacing w:val="-2"/>
          <w:sz w:val="22"/>
          <w:szCs w:val="22"/>
        </w:rPr>
      </w:pPr>
      <w:r w:rsidRPr="005A5880">
        <w:rPr>
          <w:rFonts w:ascii="Cambria" w:hAnsi="Cambria" w:cs="Arial"/>
          <w:spacing w:val="-2"/>
          <w:sz w:val="22"/>
          <w:szCs w:val="22"/>
        </w:rPr>
        <w:t>The Specialist plays a central role in supporting project visibility, stakeholder engagement, and knowledge sharing. By ensuring transparent processes, adherence to eligibility rules, and consistent progress reporting, the ADS contributes directly to the project's impact — fostering resilient agribusiness development, generating rural employment, and reinforcing IFAD’s strategic focus on inclusive and sustainable rural transformation</w:t>
      </w:r>
      <w:r w:rsidR="003B28E8" w:rsidRPr="003B28E8">
        <w:rPr>
          <w:rFonts w:ascii="Cambria" w:hAnsi="Cambria" w:cs="Arial"/>
          <w:spacing w:val="-2"/>
          <w:sz w:val="22"/>
          <w:szCs w:val="22"/>
        </w:rPr>
        <w:t>.</w:t>
      </w:r>
    </w:p>
    <w:p w14:paraId="54C2EE82" w14:textId="77777777" w:rsidR="001B5FBB" w:rsidRDefault="001B5FBB" w:rsidP="00DB34A0">
      <w:pPr>
        <w:jc w:val="both"/>
        <w:rPr>
          <w:rFonts w:ascii="Cambria" w:hAnsi="Cambria" w:cs="Arial"/>
          <w:color w:val="007BB8"/>
          <w:spacing w:val="-2"/>
          <w:sz w:val="22"/>
          <w:szCs w:val="22"/>
        </w:rPr>
      </w:pPr>
    </w:p>
    <w:p w14:paraId="7806218F" w14:textId="1A032C66" w:rsidR="003B28E8" w:rsidRPr="003B28E8" w:rsidRDefault="003B28E8" w:rsidP="00DB34A0">
      <w:pPr>
        <w:jc w:val="both"/>
        <w:rPr>
          <w:rFonts w:ascii="Cambria" w:hAnsi="Cambria" w:cstheme="minorBidi"/>
          <w:sz w:val="20"/>
          <w:szCs w:val="20"/>
        </w:rPr>
      </w:pPr>
      <w:r w:rsidRPr="003B28E8">
        <w:rPr>
          <w:rFonts w:ascii="Cambria" w:hAnsi="Cambria" w:cs="Arial"/>
          <w:color w:val="007BB8"/>
          <w:spacing w:val="-2"/>
          <w:sz w:val="22"/>
          <w:szCs w:val="22"/>
        </w:rPr>
        <w:t xml:space="preserve">The general activities of the TRTP </w:t>
      </w:r>
      <w:r w:rsidR="005A5880" w:rsidRPr="005A5880">
        <w:rPr>
          <w:rFonts w:ascii="Cambria" w:hAnsi="Cambria" w:cs="Arial"/>
          <w:color w:val="007BB8"/>
          <w:spacing w:val="-2"/>
          <w:sz w:val="22"/>
          <w:szCs w:val="22"/>
        </w:rPr>
        <w:t>Agribusiness Development Specialist</w:t>
      </w:r>
      <w:r w:rsidRPr="003B28E8">
        <w:rPr>
          <w:rFonts w:ascii="Cambria" w:hAnsi="Cambria" w:cs="Arial"/>
          <w:color w:val="007BB8"/>
          <w:spacing w:val="-2"/>
          <w:sz w:val="22"/>
          <w:szCs w:val="22"/>
        </w:rPr>
        <w:t xml:space="preserve"> include, but are not limited to:</w:t>
      </w:r>
    </w:p>
    <w:p w14:paraId="67D53D8F" w14:textId="77777777" w:rsidR="005A5880" w:rsidRDefault="005A5880" w:rsidP="005A5880">
      <w:pPr>
        <w:jc w:val="both"/>
        <w:rPr>
          <w:rFonts w:ascii="Cambria" w:hAnsi="Cambria" w:cs="Arial"/>
          <w:i/>
          <w:sz w:val="20"/>
          <w:szCs w:val="20"/>
          <w:lang w:val="en-GB" w:eastAsia="ru-RU"/>
        </w:rPr>
      </w:pPr>
    </w:p>
    <w:p w14:paraId="645880FA" w14:textId="40571534"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Strategic Planning and Implementation of Agribusiness Activities</w:t>
      </w:r>
    </w:p>
    <w:p w14:paraId="3258F4ED"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Provide technical leadership in the design and execution of agribusiness development activities, ensuring strategic coherence with national policies and IFAD priorities;</w:t>
      </w:r>
    </w:p>
    <w:p w14:paraId="19B8F67A"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Lead the preparation of Annual Work Plans and Budgets (AWPB) related to the sub-component, integrating proposals from key stakeholders and ensuring feasibility and impact;</w:t>
      </w:r>
    </w:p>
    <w:p w14:paraId="67D459A5"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Coordinate with local authorities, private sector actors and consultants to ensure timely and coherent implementation of investment activities;</w:t>
      </w:r>
    </w:p>
    <w:p w14:paraId="587FF90A" w14:textId="0F027CDB"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Supervise the development and implementation of financing mechanisms available within TRTP including business plans developed and submitted by applicants</w:t>
      </w:r>
      <w:r>
        <w:rPr>
          <w:rFonts w:ascii="Cambria" w:hAnsi="Cambria" w:cs="Arial"/>
          <w:iCs/>
          <w:sz w:val="22"/>
          <w:szCs w:val="22"/>
          <w:lang w:val="en-GB" w:eastAsia="ru-RU"/>
        </w:rPr>
        <w:t>;</w:t>
      </w:r>
    </w:p>
    <w:p w14:paraId="4081D644" w14:textId="77777777" w:rsidR="005A5880" w:rsidRPr="005A5880" w:rsidRDefault="005A5880" w:rsidP="005A5880">
      <w:pPr>
        <w:pStyle w:val="ListParagraph"/>
        <w:numPr>
          <w:ilvl w:val="0"/>
          <w:numId w:val="28"/>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Provide technical oversight and follow-up on mission recommendations related to agribusiness and value chain development.</w:t>
      </w:r>
    </w:p>
    <w:p w14:paraId="5005BC2E" w14:textId="77777777" w:rsidR="005A5880" w:rsidRPr="005A5880" w:rsidRDefault="005A5880" w:rsidP="005A5880">
      <w:pPr>
        <w:jc w:val="both"/>
        <w:rPr>
          <w:rFonts w:ascii="Cambria" w:hAnsi="Cambria" w:cs="Arial"/>
          <w:iCs/>
          <w:sz w:val="22"/>
          <w:szCs w:val="22"/>
          <w:lang w:val="en-GB" w:eastAsia="ru-RU"/>
        </w:rPr>
      </w:pPr>
    </w:p>
    <w:p w14:paraId="07110383"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Monitoring, Evaluation, and Quality Assurance</w:t>
      </w:r>
    </w:p>
    <w:p w14:paraId="32C0610D"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Conduct technical reviews of business plans submitted by program beneficiaries and service providers;</w:t>
      </w:r>
    </w:p>
    <w:p w14:paraId="19580CDC"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Monitor field implementation of sub-component activities and coordinate regular site visits to verify progress, assess risks, and validate deliverables;</w:t>
      </w:r>
    </w:p>
    <w:p w14:paraId="61F2254B"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Ensure preparation and submission of regular progress reports, including technical updates, risk assessments, and outcome indicators;</w:t>
      </w:r>
    </w:p>
    <w:p w14:paraId="218D9221" w14:textId="77777777" w:rsidR="005A5880" w:rsidRPr="005A5880" w:rsidRDefault="005A5880" w:rsidP="005A5880">
      <w:pPr>
        <w:pStyle w:val="ListParagraph"/>
        <w:numPr>
          <w:ilvl w:val="0"/>
          <w:numId w:val="29"/>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Collaborate with the M&amp;E and Knowledge Management teams to ensure systematic tracking of results, database development for TRTP beneficiaries, knowledge capture, and dissemination of best practices.</w:t>
      </w:r>
    </w:p>
    <w:p w14:paraId="4F2BB455" w14:textId="77777777" w:rsidR="005A5880" w:rsidRPr="005A5880" w:rsidRDefault="005A5880" w:rsidP="005A5880">
      <w:pPr>
        <w:pStyle w:val="ListParagraph"/>
        <w:jc w:val="both"/>
        <w:rPr>
          <w:rFonts w:ascii="Cambria" w:hAnsi="Cambria" w:cs="Arial"/>
          <w:iCs/>
          <w:sz w:val="22"/>
          <w:szCs w:val="22"/>
          <w:lang w:val="en-GB" w:eastAsia="ru-RU"/>
        </w:rPr>
      </w:pPr>
    </w:p>
    <w:p w14:paraId="5AB2117F"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Operational and Administrative Oversight</w:t>
      </w:r>
    </w:p>
    <w:p w14:paraId="7C560F32"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Support the preparation and management of application processes under TRTP financial products, ensuring transparency, eligibility, and alignment with sub-component objectives;</w:t>
      </w:r>
    </w:p>
    <w:p w14:paraId="0C91FE1C"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Maintain up-to-date records of all approved grant investments, including supporting documentation, technical justifications, and implementation timelines;</w:t>
      </w:r>
    </w:p>
    <w:p w14:paraId="57CE1EE9"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Validate reports and service outputs submitted by consultants and service providers, ensuring contractual compliance and technical relevance;</w:t>
      </w:r>
    </w:p>
    <w:p w14:paraId="1984A6F7" w14:textId="77777777" w:rsidR="005A5880" w:rsidRPr="005A5880" w:rsidRDefault="005A5880" w:rsidP="005A5880">
      <w:pPr>
        <w:pStyle w:val="ListParagraph"/>
        <w:numPr>
          <w:ilvl w:val="0"/>
          <w:numId w:val="30"/>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Work closely with the CPIU financial team to confirm payment authorizations, monitor fund flows, and ensure efficient use of project resources under the sub-component.</w:t>
      </w:r>
    </w:p>
    <w:p w14:paraId="30728360" w14:textId="77777777" w:rsidR="005A5880" w:rsidRPr="005A5880" w:rsidRDefault="005A5880" w:rsidP="005A5880">
      <w:pPr>
        <w:jc w:val="both"/>
        <w:rPr>
          <w:rFonts w:ascii="Cambria" w:hAnsi="Cambria" w:cs="Arial"/>
          <w:iCs/>
          <w:sz w:val="22"/>
          <w:szCs w:val="22"/>
          <w:lang w:val="en-GB" w:eastAsia="ru-RU"/>
        </w:rPr>
      </w:pPr>
    </w:p>
    <w:p w14:paraId="3426B67E" w14:textId="77777777" w:rsidR="005A5880" w:rsidRPr="005A5880" w:rsidRDefault="005A5880" w:rsidP="005A5880">
      <w:pPr>
        <w:jc w:val="both"/>
        <w:rPr>
          <w:rFonts w:ascii="Cambria" w:hAnsi="Cambria" w:cs="Arial"/>
          <w:i/>
          <w:sz w:val="22"/>
          <w:szCs w:val="22"/>
          <w:lang w:val="en-GB" w:eastAsia="ru-RU"/>
        </w:rPr>
      </w:pPr>
      <w:r w:rsidRPr="005A5880">
        <w:rPr>
          <w:rFonts w:ascii="Cambria" w:hAnsi="Cambria" w:cs="Arial"/>
          <w:i/>
          <w:sz w:val="22"/>
          <w:szCs w:val="22"/>
          <w:lang w:val="en-GB" w:eastAsia="ru-RU"/>
        </w:rPr>
        <w:t>Procurement, Contract Management, and Consultant Supervision</w:t>
      </w:r>
    </w:p>
    <w:p w14:paraId="4C33D797"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Draft Terms of Reference (</w:t>
      </w:r>
      <w:proofErr w:type="spellStart"/>
      <w:r w:rsidRPr="005A5880">
        <w:rPr>
          <w:rFonts w:ascii="Cambria" w:hAnsi="Cambria" w:cs="Arial"/>
          <w:iCs/>
          <w:sz w:val="22"/>
          <w:szCs w:val="22"/>
          <w:lang w:val="en-GB" w:eastAsia="ru-RU"/>
        </w:rPr>
        <w:t>ToRs</w:t>
      </w:r>
      <w:proofErr w:type="spellEnd"/>
      <w:r w:rsidRPr="005A5880">
        <w:rPr>
          <w:rFonts w:ascii="Cambria" w:hAnsi="Cambria" w:cs="Arial"/>
          <w:iCs/>
          <w:sz w:val="22"/>
          <w:szCs w:val="22"/>
          <w:lang w:val="en-GB" w:eastAsia="ru-RU"/>
        </w:rPr>
        <w:t>) for national and international experts, service providers, and firms contracted for sub-component activities;</w:t>
      </w:r>
    </w:p>
    <w:p w14:paraId="7BE29132"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Oversee procurement processes linked to agribusiness development, including the procurement of services for training, technical assistance, and infrastructure works;</w:t>
      </w:r>
    </w:p>
    <w:p w14:paraId="3DE92719"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lastRenderedPageBreak/>
        <w:t>Participate in the evaluation and negotiation of contracts, ensuring that service providers are aligned with project goals and deliverables;</w:t>
      </w:r>
    </w:p>
    <w:p w14:paraId="348DAE58" w14:textId="77777777" w:rsidR="005A5880" w:rsidRPr="005A5880" w:rsidRDefault="005A5880" w:rsidP="005A5880">
      <w:pPr>
        <w:pStyle w:val="ListParagraph"/>
        <w:numPr>
          <w:ilvl w:val="0"/>
          <w:numId w:val="31"/>
        </w:numPr>
        <w:ind w:left="180" w:hanging="180"/>
        <w:contextualSpacing/>
        <w:jc w:val="both"/>
        <w:rPr>
          <w:rFonts w:ascii="Cambria" w:hAnsi="Cambria" w:cs="Arial"/>
          <w:iCs/>
          <w:sz w:val="22"/>
          <w:szCs w:val="22"/>
          <w:lang w:val="en-GB" w:eastAsia="ru-RU"/>
        </w:rPr>
      </w:pPr>
      <w:r w:rsidRPr="005A5880">
        <w:rPr>
          <w:rFonts w:ascii="Cambria" w:hAnsi="Cambria" w:cs="Arial"/>
          <w:iCs/>
          <w:sz w:val="22"/>
          <w:szCs w:val="22"/>
          <w:lang w:val="en-GB" w:eastAsia="ru-RU"/>
        </w:rPr>
        <w:t>Supervise the performance of consultants and firms, provide technical feedback, and ensure corrective actions are implemented when needed.</w:t>
      </w:r>
    </w:p>
    <w:p w14:paraId="5F158DA9" w14:textId="77777777" w:rsidR="005A5880" w:rsidRDefault="005A5880" w:rsidP="003B28E8">
      <w:pPr>
        <w:jc w:val="both"/>
        <w:rPr>
          <w:rFonts w:ascii="Cambria" w:hAnsi="Cambria" w:cs="Arial"/>
          <w:b/>
          <w:bCs/>
          <w:sz w:val="22"/>
          <w:szCs w:val="22"/>
        </w:rPr>
      </w:pPr>
    </w:p>
    <w:p w14:paraId="006A5651" w14:textId="489A20EE" w:rsidR="003B28E8" w:rsidRPr="003B28E8" w:rsidRDefault="003B28E8" w:rsidP="003B28E8">
      <w:pPr>
        <w:jc w:val="both"/>
        <w:rPr>
          <w:rFonts w:ascii="Cambria" w:hAnsi="Cambria" w:cs="Arial"/>
          <w:sz w:val="22"/>
          <w:szCs w:val="22"/>
        </w:rPr>
      </w:pPr>
      <w:r w:rsidRPr="00DB34A0">
        <w:rPr>
          <w:rFonts w:ascii="Cambria" w:hAnsi="Cambria" w:cs="Arial"/>
          <w:b/>
          <w:bCs/>
          <w:sz w:val="22"/>
          <w:szCs w:val="22"/>
        </w:rPr>
        <w:t>For more details on the objectives and responsibilities</w:t>
      </w:r>
      <w:r w:rsidR="002F2806">
        <w:rPr>
          <w:rFonts w:ascii="Cambria" w:hAnsi="Cambria" w:cs="Arial"/>
          <w:b/>
          <w:bCs/>
          <w:sz w:val="22"/>
          <w:szCs w:val="22"/>
        </w:rPr>
        <w:t xml:space="preserve"> of the </w:t>
      </w:r>
      <w:r w:rsidR="005A5880" w:rsidRPr="005A5880">
        <w:rPr>
          <w:rFonts w:ascii="Cambria" w:hAnsi="Cambria" w:cs="Arial"/>
          <w:b/>
          <w:bCs/>
          <w:sz w:val="22"/>
          <w:szCs w:val="22"/>
        </w:rPr>
        <w:t>Agribusiness Development Specialist</w:t>
      </w:r>
      <w:r w:rsidRPr="00DB34A0">
        <w:rPr>
          <w:rFonts w:ascii="Cambria" w:hAnsi="Cambria" w:cs="Arial"/>
          <w:b/>
          <w:bCs/>
          <w:sz w:val="22"/>
          <w:szCs w:val="22"/>
        </w:rPr>
        <w:t xml:space="preserve">, please refer to the </w:t>
      </w:r>
      <w:r w:rsidRPr="00DB34A0">
        <w:rPr>
          <w:rFonts w:ascii="Cambria" w:hAnsi="Cambria" w:cs="Arial"/>
          <w:b/>
          <w:bCs/>
          <w:i/>
          <w:iCs/>
          <w:color w:val="4472C4" w:themeColor="accent1"/>
          <w:spacing w:val="-2"/>
          <w:sz w:val="22"/>
          <w:szCs w:val="22"/>
        </w:rPr>
        <w:t>Terms of Reference</w:t>
      </w:r>
      <w:r w:rsidRPr="00DB34A0">
        <w:rPr>
          <w:rFonts w:ascii="Cambria" w:hAnsi="Cambria" w:cs="Arial"/>
          <w:b/>
          <w:bCs/>
          <w:sz w:val="22"/>
          <w:szCs w:val="22"/>
        </w:rPr>
        <w:t xml:space="preserve"> attached to this REOI</w:t>
      </w:r>
      <w:r w:rsidRPr="003B28E8">
        <w:rPr>
          <w:rFonts w:ascii="Cambria" w:hAnsi="Cambria" w:cs="Arial"/>
          <w:sz w:val="22"/>
          <w:szCs w:val="22"/>
        </w:rPr>
        <w:t>.</w:t>
      </w:r>
    </w:p>
    <w:p w14:paraId="2BE67556" w14:textId="3D0A0BB6" w:rsidR="00537C52" w:rsidRPr="004D268A"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DB34A0">
        <w:rPr>
          <w:rFonts w:ascii="Cambria" w:hAnsi="Cambria" w:cs="Arial"/>
          <w:b/>
          <w:bCs/>
          <w:i/>
          <w:iCs/>
          <w:color w:val="4472C4" w:themeColor="accent1"/>
          <w:spacing w:val="-2"/>
          <w:sz w:val="22"/>
          <w:szCs w:val="22"/>
        </w:rPr>
        <w:t>June 17,</w:t>
      </w:r>
      <w:r w:rsidR="00232686" w:rsidRPr="004D268A">
        <w:rPr>
          <w:rFonts w:ascii="Cambria" w:hAnsi="Cambria" w:cs="Arial"/>
          <w:b/>
          <w:bCs/>
          <w:i/>
          <w:iCs/>
          <w:color w:val="4472C4" w:themeColor="accent1"/>
          <w:spacing w:val="-2"/>
          <w:sz w:val="22"/>
          <w:szCs w:val="22"/>
        </w:rPr>
        <w:t xml:space="preserve"> 202</w:t>
      </w:r>
      <w:r w:rsidR="006536AF">
        <w:rPr>
          <w:rFonts w:ascii="Cambria" w:hAnsi="Cambria" w:cs="Arial"/>
          <w:b/>
          <w:bCs/>
          <w:i/>
          <w:iCs/>
          <w:color w:val="4472C4" w:themeColor="accent1"/>
          <w:spacing w:val="-2"/>
          <w:sz w:val="22"/>
          <w:szCs w:val="22"/>
        </w:rPr>
        <w:t>5</w:t>
      </w:r>
      <w:r w:rsidR="00232686" w:rsidRPr="004D268A">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w:t>
      </w:r>
      <w:proofErr w:type="spellStart"/>
      <w:r w:rsidR="001E7AD6" w:rsidRPr="00232686">
        <w:rPr>
          <w:rFonts w:ascii="Cambria" w:eastAsia="SimSun" w:hAnsi="Cambria" w:cstheme="minorBidi"/>
          <w:sz w:val="22"/>
          <w:szCs w:val="22"/>
          <w:lang w:eastAsia="zh-CN"/>
        </w:rPr>
        <w:t>i</w:t>
      </w:r>
      <w:proofErr w:type="spellEnd"/>
      <w:r w:rsidR="001E7AD6" w:rsidRPr="00232686">
        <w:rPr>
          <w:rFonts w:ascii="Cambria" w:eastAsia="SimSun" w:hAnsi="Cambria" w:cstheme="minorBidi"/>
          <w:sz w:val="22"/>
          <w:szCs w:val="22"/>
          <w:lang w:eastAsia="zh-CN"/>
        </w:rPr>
        <w:t xml:space="preserve">)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61B8FBDB" w14:textId="3221B984" w:rsidR="00DE598C" w:rsidRPr="00232686" w:rsidRDefault="00537C52"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54843700" w14:textId="245777C7" w:rsidR="00DE598C" w:rsidRPr="00CE064A" w:rsidRDefault="00DB34A0" w:rsidP="002E52BA">
      <w:pPr>
        <w:suppressAutoHyphens/>
        <w:spacing w:before="240"/>
        <w:rPr>
          <w:rFonts w:ascii="Cambria" w:hAnsi="Cambria" w:cs="Arial"/>
          <w:b/>
          <w:bCs/>
          <w:spacing w:val="-2"/>
          <w:sz w:val="22"/>
          <w:szCs w:val="22"/>
        </w:rPr>
      </w:pPr>
      <w:r w:rsidRPr="00DB34A0">
        <w:rPr>
          <w:rFonts w:ascii="Cambria" w:hAnsi="Cambria" w:cs="Arial"/>
          <w:b/>
          <w:bCs/>
          <w:spacing w:val="-2"/>
          <w:sz w:val="22"/>
          <w:szCs w:val="22"/>
        </w:rPr>
        <w:t>Key criteria for the shortlist: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5A5880" w:rsidRPr="006715BB" w14:paraId="7AB77E98" w14:textId="77777777" w:rsidTr="00A07290">
        <w:tc>
          <w:tcPr>
            <w:tcW w:w="450" w:type="dxa"/>
          </w:tcPr>
          <w:p w14:paraId="74CA9F21" w14:textId="77777777" w:rsidR="005A5880" w:rsidRPr="006715BB" w:rsidRDefault="005A5880" w:rsidP="00A07290">
            <w:pPr>
              <w:jc w:val="center"/>
              <w:rPr>
                <w:rFonts w:ascii="Cambria" w:hAnsi="Cambria" w:cs="Calibri"/>
                <w:b/>
                <w:sz w:val="20"/>
                <w:szCs w:val="20"/>
                <w:lang w:val="en-GB"/>
              </w:rPr>
            </w:pPr>
            <w:bookmarkStart w:id="2" w:name="_Hlk140820160"/>
          </w:p>
        </w:tc>
        <w:tc>
          <w:tcPr>
            <w:tcW w:w="8055" w:type="dxa"/>
          </w:tcPr>
          <w:p w14:paraId="1C479A4B"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Evaluation Criteria for shortlisting</w:t>
            </w:r>
          </w:p>
        </w:tc>
        <w:tc>
          <w:tcPr>
            <w:tcW w:w="1134" w:type="dxa"/>
          </w:tcPr>
          <w:p w14:paraId="01F6F8E8"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 xml:space="preserve">scoring </w:t>
            </w:r>
          </w:p>
        </w:tc>
      </w:tr>
      <w:tr w:rsidR="005A5880" w:rsidRPr="006715BB" w14:paraId="586173BF" w14:textId="77777777" w:rsidTr="00A07290">
        <w:tc>
          <w:tcPr>
            <w:tcW w:w="450" w:type="dxa"/>
          </w:tcPr>
          <w:p w14:paraId="6C8094C4"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w:t>
            </w:r>
          </w:p>
        </w:tc>
        <w:tc>
          <w:tcPr>
            <w:tcW w:w="8055" w:type="dxa"/>
            <w:shd w:val="clear" w:color="auto" w:fill="auto"/>
          </w:tcPr>
          <w:p w14:paraId="1BD8043D"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General qualifications and experience:</w:t>
            </w:r>
          </w:p>
          <w:p w14:paraId="49275454" w14:textId="77777777" w:rsidR="005A5880" w:rsidRPr="006715BB" w:rsidRDefault="005A5880" w:rsidP="005A5880">
            <w:pPr>
              <w:pStyle w:val="ListParagraph"/>
              <w:numPr>
                <w:ilvl w:val="0"/>
                <w:numId w:val="22"/>
              </w:numPr>
              <w:contextualSpacing/>
              <w:jc w:val="both"/>
              <w:rPr>
                <w:rFonts w:ascii="Cambria" w:hAnsi="Cambria" w:cs="Calibri"/>
                <w:sz w:val="20"/>
                <w:szCs w:val="20"/>
                <w:lang w:val="en-GB"/>
              </w:rPr>
            </w:pPr>
            <w:r w:rsidRPr="006715BB">
              <w:rPr>
                <w:rFonts w:ascii="Cambria" w:eastAsia="MS Mincho" w:hAnsi="Cambria" w:cs="Arial"/>
                <w:sz w:val="20"/>
                <w:szCs w:val="20"/>
                <w:lang w:eastAsia="fr-FR"/>
              </w:rPr>
              <w:t>Higher degree in agriculture, horticulture, agricultural economics, rural development</w:t>
            </w:r>
            <w:proofErr w:type="gramStart"/>
            <w:r w:rsidRPr="006715BB">
              <w:rPr>
                <w:rFonts w:ascii="Cambria" w:eastAsia="MS Mincho" w:hAnsi="Cambria" w:cs="Arial"/>
                <w:sz w:val="20"/>
                <w:szCs w:val="20"/>
                <w:lang w:eastAsia="fr-FR"/>
              </w:rPr>
              <w:t>, ,</w:t>
            </w:r>
            <w:proofErr w:type="gramEnd"/>
            <w:r w:rsidRPr="006715BB">
              <w:rPr>
                <w:rFonts w:ascii="Cambria" w:eastAsia="MS Mincho" w:hAnsi="Cambria" w:cs="Arial"/>
                <w:sz w:val="20"/>
                <w:szCs w:val="20"/>
                <w:lang w:eastAsia="fr-FR"/>
              </w:rPr>
              <w:t xml:space="preserve"> or other relevant agricultural sciences.</w:t>
            </w:r>
          </w:p>
          <w:p w14:paraId="04DAEEE4" w14:textId="77777777" w:rsidR="005A5880" w:rsidRPr="006715BB" w:rsidRDefault="005A5880" w:rsidP="005A5880">
            <w:pPr>
              <w:pStyle w:val="ListParagraph"/>
              <w:numPr>
                <w:ilvl w:val="0"/>
                <w:numId w:val="22"/>
              </w:numPr>
              <w:contextualSpacing/>
              <w:jc w:val="both"/>
              <w:rPr>
                <w:rFonts w:ascii="Cambria" w:hAnsi="Cambria" w:cs="Calibri"/>
                <w:sz w:val="20"/>
                <w:szCs w:val="20"/>
                <w:lang w:val="en-GB"/>
              </w:rPr>
            </w:pPr>
            <w:r w:rsidRPr="006715BB">
              <w:rPr>
                <w:rFonts w:ascii="Cambria" w:hAnsi="Cambria"/>
                <w:sz w:val="20"/>
                <w:szCs w:val="20"/>
              </w:rPr>
              <w:t>Participation in international training programs related to project implementation, rural development, or agribusiness, organized by multilateral or bilateral donors.</w:t>
            </w:r>
          </w:p>
        </w:tc>
        <w:tc>
          <w:tcPr>
            <w:tcW w:w="1134" w:type="dxa"/>
          </w:tcPr>
          <w:p w14:paraId="5E0B422B"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20</w:t>
            </w:r>
          </w:p>
          <w:p w14:paraId="70F6654D" w14:textId="77777777" w:rsidR="005A5880" w:rsidRPr="006715BB" w:rsidRDefault="005A5880" w:rsidP="00A07290">
            <w:pPr>
              <w:jc w:val="center"/>
              <w:rPr>
                <w:rFonts w:ascii="Cambria" w:hAnsi="Cambria" w:cs="Calibri"/>
                <w:sz w:val="20"/>
                <w:szCs w:val="20"/>
                <w:lang w:val="en-GB"/>
              </w:rPr>
            </w:pPr>
          </w:p>
          <w:p w14:paraId="37993A94"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15</w:t>
            </w:r>
          </w:p>
          <w:p w14:paraId="0C690022" w14:textId="77777777" w:rsidR="005A5880" w:rsidRPr="006715BB" w:rsidRDefault="005A5880" w:rsidP="00A07290">
            <w:pPr>
              <w:jc w:val="center"/>
              <w:rPr>
                <w:rFonts w:ascii="Cambria" w:hAnsi="Cambria" w:cs="Calibri"/>
                <w:sz w:val="20"/>
                <w:szCs w:val="20"/>
                <w:lang w:val="en-GB"/>
              </w:rPr>
            </w:pPr>
          </w:p>
          <w:p w14:paraId="3336CCF4"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5</w:t>
            </w:r>
          </w:p>
        </w:tc>
      </w:tr>
      <w:tr w:rsidR="005A5880" w:rsidRPr="006715BB" w14:paraId="28D2DCC7" w14:textId="77777777" w:rsidTr="00A07290">
        <w:trPr>
          <w:trHeight w:val="251"/>
        </w:trPr>
        <w:tc>
          <w:tcPr>
            <w:tcW w:w="450" w:type="dxa"/>
          </w:tcPr>
          <w:p w14:paraId="2DA24EB0"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2</w:t>
            </w:r>
          </w:p>
        </w:tc>
        <w:tc>
          <w:tcPr>
            <w:tcW w:w="8055" w:type="dxa"/>
            <w:shd w:val="clear" w:color="auto" w:fill="FFFFFF" w:themeFill="background1"/>
          </w:tcPr>
          <w:p w14:paraId="46B189C8" w14:textId="77777777" w:rsidR="005A5880" w:rsidRPr="006715BB" w:rsidRDefault="005A5880" w:rsidP="00A07290">
            <w:pPr>
              <w:suppressAutoHyphens/>
              <w:rPr>
                <w:rFonts w:ascii="Cambria" w:hAnsi="Cambria" w:cs="Calibri"/>
                <w:b/>
                <w:sz w:val="20"/>
                <w:szCs w:val="20"/>
                <w:lang w:val="en-GB"/>
              </w:rPr>
            </w:pPr>
            <w:r w:rsidRPr="006715BB">
              <w:rPr>
                <w:rFonts w:ascii="Cambria" w:hAnsi="Cambria" w:cs="Calibri"/>
                <w:b/>
                <w:sz w:val="20"/>
                <w:szCs w:val="20"/>
                <w:lang w:val="en-GB"/>
              </w:rPr>
              <w:t>Specific experience as an independent expert:</w:t>
            </w:r>
            <w:bookmarkStart w:id="3" w:name="_Hlk60080675"/>
          </w:p>
          <w:bookmarkEnd w:id="3"/>
          <w:p w14:paraId="23FFA150"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hAnsi="Cambria"/>
                <w:sz w:val="20"/>
                <w:szCs w:val="20"/>
              </w:rPr>
              <w:lastRenderedPageBreak/>
              <w:t>Minimum 5 years of proven experience in the implementation, coordination, and management of agricultural or rural development projects funded by international donors.</w:t>
            </w:r>
          </w:p>
          <w:p w14:paraId="20DC43DE"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hAnsi="Cambria"/>
                <w:sz w:val="20"/>
                <w:szCs w:val="20"/>
              </w:rPr>
              <w:t>Demonstrated experience in reviewing agribusiness plans, technical feasibility assessments, and coordinating Producer Groups or rural entrepreneurs.</w:t>
            </w:r>
          </w:p>
          <w:p w14:paraId="3D247244" w14:textId="77777777" w:rsidR="005A5880" w:rsidRPr="006715BB" w:rsidRDefault="005A5880" w:rsidP="005A5880">
            <w:pPr>
              <w:pStyle w:val="ListParagraph"/>
              <w:numPr>
                <w:ilvl w:val="0"/>
                <w:numId w:val="22"/>
              </w:numPr>
              <w:contextualSpacing/>
              <w:jc w:val="both"/>
              <w:rPr>
                <w:rFonts w:ascii="Cambria" w:eastAsia="Calibri" w:hAnsi="Cambria" w:cs="Calibri"/>
                <w:bCs/>
                <w:iCs/>
                <w:sz w:val="20"/>
                <w:szCs w:val="20"/>
                <w:lang w:val="en-GB" w:bidi="en-US"/>
              </w:rPr>
            </w:pPr>
            <w:r w:rsidRPr="006715BB">
              <w:rPr>
                <w:rFonts w:ascii="Cambria" w:eastAsia="Calibri" w:hAnsi="Cambria" w:cs="Calibri"/>
                <w:iCs/>
                <w:sz w:val="20"/>
                <w:szCs w:val="20"/>
                <w:shd w:val="clear" w:color="auto" w:fill="FFFFFF" w:themeFill="background1"/>
                <w:lang w:val="en-GB" w:bidi="en-US"/>
              </w:rPr>
              <w:t>Experience in collaboration with government institutions, service providers, and the private sector.</w:t>
            </w:r>
          </w:p>
        </w:tc>
        <w:tc>
          <w:tcPr>
            <w:tcW w:w="1134" w:type="dxa"/>
            <w:vAlign w:val="center"/>
          </w:tcPr>
          <w:p w14:paraId="3A4073A5"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lastRenderedPageBreak/>
              <w:t>30</w:t>
            </w:r>
          </w:p>
          <w:p w14:paraId="55A14BB8" w14:textId="77777777" w:rsidR="005A5880" w:rsidRPr="006715BB" w:rsidRDefault="005A5880" w:rsidP="00A07290">
            <w:pPr>
              <w:jc w:val="center"/>
              <w:rPr>
                <w:rFonts w:ascii="Cambria" w:hAnsi="Cambria" w:cs="Calibri"/>
                <w:b/>
                <w:sz w:val="20"/>
                <w:szCs w:val="20"/>
                <w:lang w:val="en-GB"/>
              </w:rPr>
            </w:pPr>
          </w:p>
          <w:p w14:paraId="27E2B653"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15</w:t>
            </w:r>
          </w:p>
          <w:p w14:paraId="3F7957E2" w14:textId="77777777" w:rsidR="005A5880" w:rsidRPr="006715BB" w:rsidRDefault="005A5880" w:rsidP="00A07290">
            <w:pPr>
              <w:rPr>
                <w:rFonts w:ascii="Cambria" w:hAnsi="Cambria" w:cs="Calibri"/>
                <w:sz w:val="20"/>
                <w:szCs w:val="20"/>
                <w:lang w:val="en-GB"/>
              </w:rPr>
            </w:pPr>
          </w:p>
          <w:p w14:paraId="2D2D48C0"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3D4CCAD0" w14:textId="77777777" w:rsidR="005A5880" w:rsidRPr="006715BB" w:rsidRDefault="005A5880" w:rsidP="00A07290">
            <w:pPr>
              <w:jc w:val="center"/>
              <w:rPr>
                <w:rFonts w:ascii="Cambria" w:hAnsi="Cambria" w:cs="Calibri"/>
                <w:sz w:val="20"/>
                <w:szCs w:val="20"/>
                <w:lang w:val="en-GB"/>
              </w:rPr>
            </w:pPr>
          </w:p>
          <w:p w14:paraId="460D57F7" w14:textId="77777777" w:rsidR="005A5880" w:rsidRPr="006715BB" w:rsidRDefault="005A5880" w:rsidP="00A07290">
            <w:pPr>
              <w:jc w:val="center"/>
              <w:rPr>
                <w:rFonts w:ascii="Cambria" w:hAnsi="Cambria" w:cs="Calibri"/>
                <w:sz w:val="20"/>
                <w:szCs w:val="20"/>
                <w:lang w:val="en-GB"/>
              </w:rPr>
            </w:pPr>
          </w:p>
          <w:p w14:paraId="08F486BC"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5</w:t>
            </w:r>
          </w:p>
          <w:p w14:paraId="27E19245" w14:textId="77777777" w:rsidR="005A5880" w:rsidRPr="006715BB" w:rsidRDefault="005A5880" w:rsidP="00A07290">
            <w:pPr>
              <w:jc w:val="center"/>
              <w:rPr>
                <w:rFonts w:ascii="Cambria" w:hAnsi="Cambria" w:cs="Calibri"/>
                <w:sz w:val="20"/>
                <w:szCs w:val="20"/>
                <w:lang w:val="en-GB"/>
              </w:rPr>
            </w:pPr>
          </w:p>
          <w:p w14:paraId="13B52ED8" w14:textId="77777777" w:rsidR="005A5880" w:rsidRPr="006715BB" w:rsidRDefault="005A5880" w:rsidP="00A07290">
            <w:pPr>
              <w:rPr>
                <w:rFonts w:ascii="Cambria" w:hAnsi="Cambria" w:cs="Calibri"/>
                <w:sz w:val="20"/>
                <w:szCs w:val="20"/>
                <w:lang w:val="en-GB"/>
              </w:rPr>
            </w:pPr>
          </w:p>
        </w:tc>
      </w:tr>
      <w:tr w:rsidR="005A5880" w:rsidRPr="006715BB" w14:paraId="0C5708AF" w14:textId="77777777" w:rsidTr="00A07290">
        <w:tc>
          <w:tcPr>
            <w:tcW w:w="450" w:type="dxa"/>
          </w:tcPr>
          <w:p w14:paraId="3C6C7CA2"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lastRenderedPageBreak/>
              <w:t>3</w:t>
            </w:r>
          </w:p>
        </w:tc>
        <w:tc>
          <w:tcPr>
            <w:tcW w:w="8055" w:type="dxa"/>
          </w:tcPr>
          <w:p w14:paraId="28F6317D"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Skills:</w:t>
            </w:r>
          </w:p>
          <w:p w14:paraId="07D54BB3" w14:textId="77777777" w:rsidR="005A5880" w:rsidRPr="006715BB" w:rsidRDefault="005A5880" w:rsidP="005A5880">
            <w:pPr>
              <w:pStyle w:val="ListParagraph"/>
              <w:numPr>
                <w:ilvl w:val="0"/>
                <w:numId w:val="22"/>
              </w:numPr>
              <w:contextualSpacing/>
              <w:jc w:val="both"/>
              <w:rPr>
                <w:rFonts w:ascii="Cambria" w:eastAsia="Calibri" w:hAnsi="Cambria" w:cs="Calibri"/>
                <w:i/>
                <w:sz w:val="20"/>
                <w:szCs w:val="20"/>
                <w:lang w:val="en-GB" w:bidi="en-US"/>
              </w:rPr>
            </w:pPr>
            <w:r w:rsidRPr="006715BB">
              <w:rPr>
                <w:rFonts w:ascii="Cambria" w:eastAsia="Calibri" w:hAnsi="Cambria" w:cs="Calibri"/>
                <w:i/>
                <w:sz w:val="20"/>
                <w:szCs w:val="20"/>
                <w:lang w:bidi="en-US"/>
              </w:rPr>
              <w:t>Fluency in Romanian and English Russian is an asset</w:t>
            </w:r>
            <w:r w:rsidRPr="006715BB">
              <w:rPr>
                <w:rFonts w:ascii="Cambria" w:eastAsia="Calibri" w:hAnsi="Cambria" w:cs="Calibri"/>
                <w:i/>
                <w:sz w:val="20"/>
                <w:szCs w:val="20"/>
                <w:lang w:val="en-GB" w:bidi="en-US"/>
              </w:rPr>
              <w:t>;</w:t>
            </w:r>
          </w:p>
          <w:p w14:paraId="1CC5C9DA" w14:textId="77777777" w:rsidR="005A5880" w:rsidRPr="006715BB" w:rsidRDefault="005A5880" w:rsidP="00A07290">
            <w:pPr>
              <w:pStyle w:val="ListParagraph"/>
              <w:jc w:val="both"/>
              <w:rPr>
                <w:rFonts w:ascii="Cambria" w:eastAsia="Calibri" w:hAnsi="Cambria" w:cs="Calibri"/>
                <w:i/>
                <w:sz w:val="20"/>
                <w:szCs w:val="20"/>
                <w:lang w:val="en-GB" w:bidi="en-US"/>
              </w:rPr>
            </w:pPr>
          </w:p>
          <w:p w14:paraId="6ADD7008" w14:textId="77777777" w:rsidR="005A5880" w:rsidRPr="006715BB" w:rsidRDefault="005A5880" w:rsidP="005A5880">
            <w:pPr>
              <w:pStyle w:val="ListParagraph"/>
              <w:numPr>
                <w:ilvl w:val="0"/>
                <w:numId w:val="22"/>
              </w:numPr>
              <w:contextualSpacing/>
              <w:jc w:val="both"/>
              <w:rPr>
                <w:rFonts w:ascii="Cambria" w:hAnsi="Cambria" w:cs="Calibri"/>
                <w:i/>
                <w:sz w:val="20"/>
                <w:szCs w:val="20"/>
                <w:lang w:val="en-GB"/>
              </w:rPr>
            </w:pPr>
            <w:r w:rsidRPr="006715BB">
              <w:rPr>
                <w:rFonts w:ascii="Cambria" w:hAnsi="Cambria" w:cs="Calibri"/>
                <w:i/>
                <w:sz w:val="20"/>
                <w:szCs w:val="20"/>
              </w:rPr>
              <w:t>Strong digital skills – proficient in MS Office (Word, Excel, PowerPoint, Outlook).</w:t>
            </w:r>
          </w:p>
        </w:tc>
        <w:tc>
          <w:tcPr>
            <w:tcW w:w="1134" w:type="dxa"/>
            <w:vAlign w:val="center"/>
          </w:tcPr>
          <w:p w14:paraId="4C1FD9D1"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15</w:t>
            </w:r>
          </w:p>
          <w:p w14:paraId="7CF40AF4" w14:textId="77777777" w:rsidR="005A5880" w:rsidRPr="006715BB" w:rsidRDefault="005A5880" w:rsidP="00A07290">
            <w:pPr>
              <w:jc w:val="center"/>
              <w:rPr>
                <w:rFonts w:ascii="Cambria" w:hAnsi="Cambria" w:cs="Calibri"/>
                <w:b/>
                <w:sz w:val="20"/>
                <w:szCs w:val="20"/>
                <w:lang w:val="en-GB"/>
              </w:rPr>
            </w:pPr>
          </w:p>
          <w:p w14:paraId="39551F4A"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119E1C0C" w14:textId="77777777" w:rsidR="005A5880" w:rsidRPr="006715BB" w:rsidRDefault="005A5880" w:rsidP="00A07290">
            <w:pPr>
              <w:rPr>
                <w:rFonts w:ascii="Cambria" w:hAnsi="Cambria" w:cs="Calibri"/>
                <w:sz w:val="20"/>
                <w:szCs w:val="20"/>
                <w:lang w:val="en-GB"/>
              </w:rPr>
            </w:pPr>
          </w:p>
          <w:p w14:paraId="79A6BABE"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sz w:val="20"/>
                <w:szCs w:val="20"/>
                <w:lang w:val="en-GB"/>
              </w:rPr>
              <w:t>5</w:t>
            </w:r>
          </w:p>
        </w:tc>
      </w:tr>
      <w:tr w:rsidR="005A5880" w:rsidRPr="006715BB" w14:paraId="7F4437C0" w14:textId="77777777" w:rsidTr="00A07290">
        <w:tc>
          <w:tcPr>
            <w:tcW w:w="450" w:type="dxa"/>
          </w:tcPr>
          <w:p w14:paraId="01F4C638"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4</w:t>
            </w:r>
          </w:p>
        </w:tc>
        <w:tc>
          <w:tcPr>
            <w:tcW w:w="8055" w:type="dxa"/>
          </w:tcPr>
          <w:p w14:paraId="2664FF01" w14:textId="77777777" w:rsidR="005A5880" w:rsidRPr="006715BB" w:rsidRDefault="005A5880" w:rsidP="00A07290">
            <w:pPr>
              <w:jc w:val="both"/>
              <w:rPr>
                <w:rFonts w:ascii="Cambria" w:hAnsi="Cambria" w:cs="Calibri"/>
                <w:b/>
                <w:sz w:val="20"/>
                <w:szCs w:val="20"/>
                <w:lang w:val="en-GB"/>
              </w:rPr>
            </w:pPr>
            <w:r w:rsidRPr="006715BB">
              <w:rPr>
                <w:rFonts w:ascii="Cambria" w:hAnsi="Cambria" w:cs="Calibri"/>
                <w:b/>
                <w:sz w:val="20"/>
                <w:szCs w:val="20"/>
                <w:lang w:val="en-GB"/>
              </w:rPr>
              <w:t>Competences demonstrated at interview (for candidates who obtain at least 40 points for criteria 1, 2 and 3 above):</w:t>
            </w:r>
          </w:p>
          <w:p w14:paraId="0B9786BC"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Theoretical and practical knowledge of agricultural production systems, value chains, and agribusiness development.</w:t>
            </w:r>
          </w:p>
          <w:p w14:paraId="4F189BB5"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Ability to analyze technical and financial documents (e.g., business plans, feasibility studies).</w:t>
            </w:r>
          </w:p>
          <w:p w14:paraId="7E1A5E8B"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Capacity to coordinate consultants, communicate with stakeholders, and lead field activities.</w:t>
            </w:r>
          </w:p>
          <w:p w14:paraId="54A9FAFF" w14:textId="77777777" w:rsidR="005A5880" w:rsidRPr="006715BB" w:rsidRDefault="005A5880" w:rsidP="005A5880">
            <w:pPr>
              <w:pStyle w:val="ListParagraph"/>
              <w:numPr>
                <w:ilvl w:val="0"/>
                <w:numId w:val="26"/>
              </w:numPr>
              <w:ind w:left="790" w:hanging="450"/>
              <w:contextualSpacing/>
              <w:jc w:val="both"/>
              <w:rPr>
                <w:rFonts w:ascii="Cambria" w:hAnsi="Cambria" w:cs="Calibri"/>
                <w:b/>
                <w:sz w:val="20"/>
                <w:szCs w:val="20"/>
                <w:lang w:val="en-GB"/>
              </w:rPr>
            </w:pPr>
            <w:r w:rsidRPr="006715BB">
              <w:rPr>
                <w:rFonts w:ascii="Cambria" w:hAnsi="Cambria"/>
                <w:sz w:val="20"/>
                <w:szCs w:val="20"/>
              </w:rPr>
              <w:t>Problem-solving skills, adaptability, and ownership of results.</w:t>
            </w:r>
          </w:p>
        </w:tc>
        <w:tc>
          <w:tcPr>
            <w:tcW w:w="1134" w:type="dxa"/>
          </w:tcPr>
          <w:p w14:paraId="180EF642"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35</w:t>
            </w:r>
          </w:p>
          <w:p w14:paraId="110A11DA" w14:textId="77777777" w:rsidR="005A5880" w:rsidRPr="006715BB" w:rsidRDefault="005A5880" w:rsidP="00A07290">
            <w:pPr>
              <w:jc w:val="center"/>
              <w:rPr>
                <w:rFonts w:ascii="Cambria" w:hAnsi="Cambria" w:cs="Calibri"/>
                <w:b/>
                <w:sz w:val="20"/>
                <w:szCs w:val="20"/>
                <w:lang w:val="en-GB"/>
              </w:rPr>
            </w:pPr>
          </w:p>
          <w:p w14:paraId="4A5BA3CC"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38A7AD84" w14:textId="77777777" w:rsidR="005A5880" w:rsidRPr="006715BB" w:rsidRDefault="005A5880" w:rsidP="00A07290">
            <w:pPr>
              <w:jc w:val="center"/>
              <w:rPr>
                <w:rFonts w:ascii="Cambria" w:hAnsi="Cambria" w:cs="Calibri"/>
                <w:sz w:val="20"/>
                <w:szCs w:val="20"/>
                <w:lang w:val="en-GB"/>
              </w:rPr>
            </w:pPr>
          </w:p>
          <w:p w14:paraId="13B863B8"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23D63741" w14:textId="77777777" w:rsidR="005A5880" w:rsidRPr="006715BB" w:rsidRDefault="005A5880" w:rsidP="00A07290">
            <w:pPr>
              <w:rPr>
                <w:rFonts w:ascii="Cambria" w:hAnsi="Cambria" w:cs="Calibri"/>
                <w:sz w:val="20"/>
                <w:szCs w:val="20"/>
                <w:lang w:val="en-GB"/>
              </w:rPr>
            </w:pPr>
          </w:p>
          <w:p w14:paraId="6C126EEF" w14:textId="77777777" w:rsidR="005A5880" w:rsidRPr="006715BB" w:rsidRDefault="005A5880" w:rsidP="00A07290">
            <w:pPr>
              <w:jc w:val="center"/>
              <w:rPr>
                <w:rFonts w:ascii="Cambria" w:hAnsi="Cambria" w:cs="Calibri"/>
                <w:sz w:val="20"/>
                <w:szCs w:val="20"/>
                <w:lang w:val="en-GB"/>
              </w:rPr>
            </w:pPr>
            <w:r w:rsidRPr="006715BB">
              <w:rPr>
                <w:rFonts w:ascii="Cambria" w:hAnsi="Cambria" w:cs="Calibri"/>
                <w:sz w:val="20"/>
                <w:szCs w:val="20"/>
                <w:lang w:val="en-GB"/>
              </w:rPr>
              <w:t>10</w:t>
            </w:r>
          </w:p>
          <w:p w14:paraId="1A36BB1E" w14:textId="77777777" w:rsidR="005A5880" w:rsidRPr="006715BB" w:rsidRDefault="005A5880" w:rsidP="00A07290">
            <w:pPr>
              <w:jc w:val="center"/>
              <w:rPr>
                <w:rFonts w:ascii="Cambria" w:hAnsi="Cambria" w:cs="Calibri"/>
                <w:b/>
                <w:sz w:val="20"/>
                <w:szCs w:val="20"/>
                <w:lang w:val="en-GB"/>
              </w:rPr>
            </w:pPr>
          </w:p>
          <w:p w14:paraId="40B51DC7"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sz w:val="20"/>
                <w:szCs w:val="20"/>
                <w:lang w:val="en-GB"/>
              </w:rPr>
              <w:t>5</w:t>
            </w:r>
          </w:p>
        </w:tc>
      </w:tr>
      <w:tr w:rsidR="005A5880" w:rsidRPr="00483555" w14:paraId="33EB1935" w14:textId="77777777" w:rsidTr="00A07290">
        <w:tc>
          <w:tcPr>
            <w:tcW w:w="450" w:type="dxa"/>
          </w:tcPr>
          <w:p w14:paraId="771BC67E" w14:textId="77777777" w:rsidR="005A5880" w:rsidRPr="006715BB" w:rsidRDefault="005A5880" w:rsidP="00A07290">
            <w:pPr>
              <w:jc w:val="both"/>
              <w:rPr>
                <w:rFonts w:ascii="Cambria" w:hAnsi="Cambria" w:cs="Calibri"/>
                <w:sz w:val="20"/>
                <w:szCs w:val="20"/>
                <w:lang w:val="en-GB"/>
              </w:rPr>
            </w:pPr>
          </w:p>
        </w:tc>
        <w:tc>
          <w:tcPr>
            <w:tcW w:w="8055" w:type="dxa"/>
          </w:tcPr>
          <w:p w14:paraId="7F9AD8D0"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TOTAL</w:t>
            </w:r>
          </w:p>
        </w:tc>
        <w:tc>
          <w:tcPr>
            <w:tcW w:w="1134" w:type="dxa"/>
          </w:tcPr>
          <w:p w14:paraId="727CAC4E" w14:textId="77777777" w:rsidR="005A5880" w:rsidRPr="006715BB" w:rsidRDefault="005A5880" w:rsidP="00A07290">
            <w:pPr>
              <w:jc w:val="center"/>
              <w:rPr>
                <w:rFonts w:ascii="Cambria" w:hAnsi="Cambria" w:cs="Calibri"/>
                <w:b/>
                <w:sz w:val="20"/>
                <w:szCs w:val="20"/>
                <w:lang w:val="en-GB"/>
              </w:rPr>
            </w:pPr>
            <w:r w:rsidRPr="006715BB">
              <w:rPr>
                <w:rFonts w:ascii="Cambria" w:hAnsi="Cambria" w:cs="Calibri"/>
                <w:b/>
                <w:sz w:val="20"/>
                <w:szCs w:val="20"/>
                <w:lang w:val="en-GB"/>
              </w:rPr>
              <w:t>100</w:t>
            </w:r>
          </w:p>
        </w:tc>
      </w:tr>
      <w:bookmarkEnd w:id="2"/>
    </w:tbl>
    <w:p w14:paraId="68FF6600" w14:textId="77777777" w:rsidR="00DB34A0" w:rsidRDefault="00DB34A0" w:rsidP="006B77AD">
      <w:pPr>
        <w:suppressAutoHyphens/>
        <w:jc w:val="both"/>
        <w:rPr>
          <w:rFonts w:ascii="Cambria" w:hAnsi="Cambria" w:cs="Arial"/>
          <w:spacing w:val="-2"/>
          <w:sz w:val="22"/>
          <w:szCs w:val="22"/>
        </w:rPr>
      </w:pPr>
    </w:p>
    <w:p w14:paraId="28915BF0" w14:textId="19AEFBD2" w:rsidR="00DB34A0" w:rsidRDefault="00DB34A0" w:rsidP="006B77AD">
      <w:pPr>
        <w:suppressAutoHyphens/>
        <w:jc w:val="both"/>
        <w:rPr>
          <w:rFonts w:ascii="Cambria" w:hAnsi="Cambria" w:cs="Arial"/>
          <w:spacing w:val="-2"/>
          <w:sz w:val="22"/>
          <w:szCs w:val="22"/>
        </w:rPr>
      </w:pPr>
      <w:r w:rsidRPr="00DB34A0">
        <w:rPr>
          <w:rFonts w:ascii="Cambria" w:hAnsi="Cambria" w:cs="Arial"/>
          <w:spacing w:val="-2"/>
          <w:sz w:val="22"/>
          <w:szCs w:val="22"/>
        </w:rPr>
        <w:t xml:space="preserve">The consultant will be selected in accordance with the ICS procurement method set out in the Procurement Manual for IFAD </w:t>
      </w:r>
      <w:proofErr w:type="spellStart"/>
      <w:r w:rsidRPr="00DB34A0">
        <w:rPr>
          <w:rFonts w:ascii="Cambria" w:hAnsi="Cambria" w:cs="Arial"/>
          <w:spacing w:val="-2"/>
          <w:sz w:val="22"/>
          <w:szCs w:val="22"/>
        </w:rPr>
        <w:t>Programmes</w:t>
      </w:r>
      <w:proofErr w:type="spellEnd"/>
      <w:r w:rsidRPr="00DB34A0">
        <w:rPr>
          <w:rFonts w:ascii="Cambria" w:hAnsi="Cambria" w:cs="Arial"/>
          <w:spacing w:val="-2"/>
          <w:sz w:val="22"/>
          <w:szCs w:val="22"/>
        </w:rPr>
        <w:t>, which can be accessed via the IFAD website at https://www.ifad.org/documents. The consultant ranked first in the shortlist will be invited within a reasonable time to submit a technical and financial proposal which will be evaluated and negotiated. The minimum pass mark for the shortlist is 70 points.</w:t>
      </w:r>
    </w:p>
    <w:p w14:paraId="40CAC0B2" w14:textId="77777777" w:rsidR="00DB34A0" w:rsidRDefault="00DB34A0" w:rsidP="006B77AD">
      <w:pPr>
        <w:suppressAutoHyphens/>
        <w:jc w:val="both"/>
        <w:rPr>
          <w:rFonts w:ascii="Cambria" w:hAnsi="Cambria" w:cs="Arial"/>
          <w:spacing w:val="-2"/>
          <w:sz w:val="22"/>
          <w:szCs w:val="22"/>
        </w:rPr>
      </w:pPr>
    </w:p>
    <w:p w14:paraId="1A5D25FF" w14:textId="41DEC26F"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DB34A0">
        <w:rPr>
          <w:rFonts w:ascii="Cambria" w:hAnsi="Cambria" w:cs="Arial"/>
          <w:color w:val="0070C0"/>
          <w:spacing w:val="-2"/>
          <w:sz w:val="22"/>
          <w:szCs w:val="22"/>
          <w:u w:val="single"/>
        </w:rPr>
        <w:t xml:space="preserve"> / </w:t>
      </w:r>
      <w:hyperlink r:id="rId22" w:history="1">
        <w:r w:rsidR="00DB34A0" w:rsidRPr="009A4205">
          <w:rPr>
            <w:rStyle w:val="Hyperlink"/>
            <w:rFonts w:ascii="Cambria" w:hAnsi="Cambria" w:cs="Arial"/>
            <w:spacing w:val="-2"/>
            <w:sz w:val="22"/>
            <w:szCs w:val="22"/>
          </w:rPr>
          <w:t>igor.tomita@ucipifad.md</w:t>
        </w:r>
      </w:hyperlink>
      <w:r w:rsidR="00DB34A0">
        <w:rPr>
          <w:rFonts w:ascii="Cambria" w:hAnsi="Cambria" w:cs="Arial"/>
          <w:color w:val="0070C0"/>
          <w:spacing w:val="-2"/>
          <w:sz w:val="22"/>
          <w:szCs w:val="22"/>
        </w:rPr>
        <w:t xml:space="preserve"> </w:t>
      </w:r>
      <w:r w:rsidRPr="00DB34A0">
        <w:rPr>
          <w:rFonts w:ascii="Cambria" w:hAnsi="Cambria" w:cs="Arial"/>
          <w:spacing w:val="-2"/>
          <w:sz w:val="22"/>
          <w:szCs w:val="22"/>
        </w:rPr>
        <w:t>no</w:t>
      </w:r>
      <w:r w:rsidRPr="00232686">
        <w:rPr>
          <w:rFonts w:ascii="Cambria" w:hAnsi="Cambria" w:cs="Arial"/>
          <w:spacing w:val="-2"/>
          <w:sz w:val="22"/>
          <w:szCs w:val="22"/>
        </w:rPr>
        <w:t xml:space="preserve"> later than </w:t>
      </w:r>
      <w:r w:rsidR="004150C6">
        <w:rPr>
          <w:rFonts w:ascii="Cambria" w:hAnsi="Cambria" w:cs="Arial"/>
          <w:i/>
          <w:iCs/>
          <w:color w:val="4472C4" w:themeColor="accent1"/>
          <w:spacing w:val="-2"/>
          <w:sz w:val="22"/>
          <w:szCs w:val="22"/>
        </w:rPr>
        <w:t>June 24</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5E77CCCC"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4150C6">
        <w:rPr>
          <w:rFonts w:ascii="Cambria" w:hAnsi="Cambria" w:cs="Arial"/>
          <w:i/>
          <w:iCs/>
          <w:color w:val="4472C4" w:themeColor="accent1"/>
          <w:spacing w:val="-2"/>
          <w:sz w:val="22"/>
          <w:szCs w:val="22"/>
        </w:rPr>
        <w:t>June 27</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4266D5AE"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4150C6">
        <w:rPr>
          <w:rFonts w:ascii="Cambria" w:hAnsi="Cambria" w:cs="Arial"/>
          <w:b/>
          <w:bCs/>
          <w:color w:val="4472C4" w:themeColor="accent1"/>
          <w:spacing w:val="-2"/>
          <w:sz w:val="22"/>
          <w:szCs w:val="22"/>
        </w:rPr>
        <w:t>July 02</w:t>
      </w:r>
      <w:r w:rsidR="0040264E">
        <w:rPr>
          <w:rFonts w:ascii="Cambria" w:hAnsi="Cambria" w:cs="Arial"/>
          <w:b/>
          <w:bCs/>
          <w:color w:val="4472C4" w:themeColor="accent1"/>
          <w:spacing w:val="-2"/>
          <w:sz w:val="22"/>
          <w:szCs w:val="22"/>
        </w:rPr>
        <w:t xml:space="preserve">, </w:t>
      </w:r>
      <w:r w:rsidR="0080502A" w:rsidRPr="004C3FEA">
        <w:rPr>
          <w:rFonts w:ascii="Cambria" w:hAnsi="Cambria" w:cs="Arial"/>
          <w:b/>
          <w:bCs/>
          <w:color w:val="4472C4" w:themeColor="accent1"/>
          <w:spacing w:val="-2"/>
          <w:sz w:val="22"/>
          <w:szCs w:val="22"/>
        </w:rPr>
        <w:t>202</w:t>
      </w:r>
      <w:r w:rsidR="004D268A" w:rsidRPr="004C3FEA">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 1</w:t>
      </w:r>
      <w:r w:rsidR="004150C6">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:00 Moldova Time.</w:t>
      </w:r>
      <w:r w:rsidR="00232686" w:rsidRPr="00A45051">
        <w:rPr>
          <w:rFonts w:ascii="Cambria" w:hAnsi="Cambria" w:cs="Arial"/>
          <w:spacing w:val="-2"/>
          <w:sz w:val="22"/>
          <w:szCs w:val="22"/>
        </w:rPr>
        <w:t xml:space="preserve"> 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44C2E1A4"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3"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4"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FB79EC">
      <w:footerReference w:type="first" r:id="rId25"/>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E84E" w14:textId="77777777" w:rsidR="00D8218A" w:rsidRDefault="00D8218A">
      <w:r>
        <w:separator/>
      </w:r>
    </w:p>
  </w:endnote>
  <w:endnote w:type="continuationSeparator" w:id="0">
    <w:p w14:paraId="03CD3C8A" w14:textId="77777777" w:rsidR="00D8218A" w:rsidRDefault="00D8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9B57" w14:textId="77777777" w:rsidR="00D8218A" w:rsidRDefault="00D8218A">
      <w:r>
        <w:separator/>
      </w:r>
    </w:p>
  </w:footnote>
  <w:footnote w:type="continuationSeparator" w:id="0">
    <w:p w14:paraId="4B7C27F6" w14:textId="77777777" w:rsidR="00D8218A" w:rsidRDefault="00D8218A">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60A6B"/>
    <w:multiLevelType w:val="hybridMultilevel"/>
    <w:tmpl w:val="DE4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98110DB"/>
    <w:multiLevelType w:val="hybridMultilevel"/>
    <w:tmpl w:val="AB8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5"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F46D3"/>
    <w:multiLevelType w:val="hybridMultilevel"/>
    <w:tmpl w:val="673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84BDC"/>
    <w:multiLevelType w:val="hybridMultilevel"/>
    <w:tmpl w:val="4AD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30"/>
  </w:num>
  <w:num w:numId="2" w16cid:durableId="1088161919">
    <w:abstractNumId w:val="18"/>
  </w:num>
  <w:num w:numId="3" w16cid:durableId="501164271">
    <w:abstractNumId w:val="10"/>
  </w:num>
  <w:num w:numId="4" w16cid:durableId="1374312276">
    <w:abstractNumId w:val="13"/>
  </w:num>
  <w:num w:numId="5" w16cid:durableId="491678676">
    <w:abstractNumId w:val="27"/>
  </w:num>
  <w:num w:numId="6" w16cid:durableId="1666132764">
    <w:abstractNumId w:val="3"/>
  </w:num>
  <w:num w:numId="7" w16cid:durableId="92013390">
    <w:abstractNumId w:val="22"/>
  </w:num>
  <w:num w:numId="8" w16cid:durableId="1734231604">
    <w:abstractNumId w:val="25"/>
  </w:num>
  <w:num w:numId="9" w16cid:durableId="1615399918">
    <w:abstractNumId w:val="23"/>
  </w:num>
  <w:num w:numId="10" w16cid:durableId="1970744288">
    <w:abstractNumId w:val="2"/>
  </w:num>
  <w:num w:numId="11" w16cid:durableId="1617567902">
    <w:abstractNumId w:val="4"/>
  </w:num>
  <w:num w:numId="12" w16cid:durableId="1670056397">
    <w:abstractNumId w:val="0"/>
  </w:num>
  <w:num w:numId="13" w16cid:durableId="1563101469">
    <w:abstractNumId w:val="15"/>
  </w:num>
  <w:num w:numId="14" w16cid:durableId="1601916676">
    <w:abstractNumId w:val="19"/>
  </w:num>
  <w:num w:numId="15" w16cid:durableId="127944263">
    <w:abstractNumId w:val="5"/>
  </w:num>
  <w:num w:numId="16" w16cid:durableId="1513765540">
    <w:abstractNumId w:val="1"/>
  </w:num>
  <w:num w:numId="17" w16cid:durableId="613292239">
    <w:abstractNumId w:val="14"/>
  </w:num>
  <w:num w:numId="18" w16cid:durableId="1809712476">
    <w:abstractNumId w:val="21"/>
  </w:num>
  <w:num w:numId="19" w16cid:durableId="48119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20"/>
  </w:num>
  <w:num w:numId="21" w16cid:durableId="1763985952">
    <w:abstractNumId w:val="17"/>
  </w:num>
  <w:num w:numId="22" w16cid:durableId="1627393146">
    <w:abstractNumId w:val="16"/>
  </w:num>
  <w:num w:numId="23" w16cid:durableId="1614242145">
    <w:abstractNumId w:val="12"/>
  </w:num>
  <w:num w:numId="24" w16cid:durableId="636104722">
    <w:abstractNumId w:val="11"/>
  </w:num>
  <w:num w:numId="25" w16cid:durableId="1996911185">
    <w:abstractNumId w:val="26"/>
  </w:num>
  <w:num w:numId="26" w16cid:durableId="1161039339">
    <w:abstractNumId w:val="7"/>
  </w:num>
  <w:num w:numId="27" w16cid:durableId="419257806">
    <w:abstractNumId w:val="28"/>
  </w:num>
  <w:num w:numId="28" w16cid:durableId="647588114">
    <w:abstractNumId w:val="6"/>
  </w:num>
  <w:num w:numId="29" w16cid:durableId="652755171">
    <w:abstractNumId w:val="29"/>
  </w:num>
  <w:num w:numId="30" w16cid:durableId="723218461">
    <w:abstractNumId w:val="24"/>
  </w:num>
  <w:num w:numId="31" w16cid:durableId="9459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53EB"/>
    <w:rsid w:val="001B5FBB"/>
    <w:rsid w:val="001C1749"/>
    <w:rsid w:val="001C2544"/>
    <w:rsid w:val="001C33AF"/>
    <w:rsid w:val="001D0932"/>
    <w:rsid w:val="001D2DAC"/>
    <w:rsid w:val="001E7058"/>
    <w:rsid w:val="001E7AD6"/>
    <w:rsid w:val="001F2308"/>
    <w:rsid w:val="001F383B"/>
    <w:rsid w:val="00210F1E"/>
    <w:rsid w:val="00213924"/>
    <w:rsid w:val="0021463F"/>
    <w:rsid w:val="00216DF9"/>
    <w:rsid w:val="00232686"/>
    <w:rsid w:val="00234536"/>
    <w:rsid w:val="0023492F"/>
    <w:rsid w:val="002358C1"/>
    <w:rsid w:val="00237F85"/>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806"/>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14A56"/>
    <w:rsid w:val="004150C6"/>
    <w:rsid w:val="00421E53"/>
    <w:rsid w:val="004277C2"/>
    <w:rsid w:val="00430BF4"/>
    <w:rsid w:val="00431385"/>
    <w:rsid w:val="00433306"/>
    <w:rsid w:val="00442EE1"/>
    <w:rsid w:val="0044361F"/>
    <w:rsid w:val="004459E9"/>
    <w:rsid w:val="00445B99"/>
    <w:rsid w:val="00453E6E"/>
    <w:rsid w:val="00455288"/>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880"/>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16F42"/>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095C"/>
    <w:rsid w:val="00972789"/>
    <w:rsid w:val="00973D07"/>
    <w:rsid w:val="00974664"/>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150F4"/>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D762F"/>
    <w:rsid w:val="00BF2679"/>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22E8"/>
    <w:rsid w:val="00D54121"/>
    <w:rsid w:val="00D54EA5"/>
    <w:rsid w:val="00D63DEC"/>
    <w:rsid w:val="00D64E8D"/>
    <w:rsid w:val="00D65EBA"/>
    <w:rsid w:val="00D6681B"/>
    <w:rsid w:val="00D67159"/>
    <w:rsid w:val="00D67D77"/>
    <w:rsid w:val="00D67E19"/>
    <w:rsid w:val="00D71EBE"/>
    <w:rsid w:val="00D733D6"/>
    <w:rsid w:val="00D73FD4"/>
    <w:rsid w:val="00D8218A"/>
    <w:rsid w:val="00D829B5"/>
    <w:rsid w:val="00D85CE6"/>
    <w:rsid w:val="00D879F9"/>
    <w:rsid w:val="00D87EDC"/>
    <w:rsid w:val="00D91A37"/>
    <w:rsid w:val="00D927B4"/>
    <w:rsid w:val="00D92A68"/>
    <w:rsid w:val="00DA165D"/>
    <w:rsid w:val="00DB1E26"/>
    <w:rsid w:val="00DB274A"/>
    <w:rsid w:val="00DB34A0"/>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2F27"/>
    <w:rsid w:val="00E42F4C"/>
    <w:rsid w:val="00E459D9"/>
    <w:rsid w:val="00E4721F"/>
    <w:rsid w:val="00E47CCB"/>
    <w:rsid w:val="00E63B16"/>
    <w:rsid w:val="00E73B2C"/>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DB34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urtu.alexandru@ucipifad.m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gor.tomita@ucipifad.m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2021</Words>
  <Characters>11526</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13520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2025-06-17T13:36:00Z</dcterms:created>
  <dcterms:modified xsi:type="dcterms:W3CDTF">2025-06-17T13:36:00Z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